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9"/>
      </w:tblGrid>
      <w:tr w:rsidR="0015541B" w:rsidRPr="0015541B" w:rsidTr="0015541B">
        <w:trPr>
          <w:tblCellSpacing w:w="0" w:type="dxa"/>
        </w:trPr>
        <w:tc>
          <w:tcPr>
            <w:tcW w:w="9639" w:type="dxa"/>
            <w:shd w:val="clear" w:color="auto" w:fill="FFFFFF"/>
            <w:vAlign w:val="center"/>
            <w:hideMark/>
          </w:tcPr>
          <w:p w:rsidR="0015541B" w:rsidRPr="0015541B" w:rsidRDefault="0015541B" w:rsidP="0015541B">
            <w:pPr>
              <w:spacing w:after="0" w:line="161" w:lineRule="atLeast"/>
              <w:rPr>
                <w:rFonts w:ascii="Calibri" w:eastAsia="Times New Roman" w:hAnsi="Calibri" w:cs="Times New Roman"/>
                <w:color w:val="444444"/>
                <w:lang w:eastAsia="es-A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00"/>
            </w:tblGrid>
            <w:tr w:rsidR="0015541B" w:rsidRPr="0015541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82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00"/>
                  </w:tblGrid>
                  <w:tr w:rsidR="0015541B" w:rsidRPr="0015541B">
                    <w:trPr>
                      <w:tblCellSpacing w:w="0" w:type="dxa"/>
                    </w:trPr>
                    <w:tc>
                      <w:tcPr>
                        <w:tcW w:w="825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82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50"/>
                        </w:tblGrid>
                        <w:tr w:rsidR="0015541B" w:rsidRPr="0015541B">
                          <w:trPr>
                            <w:tblCellSpacing w:w="0" w:type="dxa"/>
                          </w:trPr>
                          <w:tc>
                            <w:tcPr>
                              <w:tcW w:w="8250" w:type="dxa"/>
                              <w:hideMark/>
                            </w:tcPr>
                            <w:p w:rsidR="0015541B" w:rsidRPr="0015541B" w:rsidRDefault="0015541B" w:rsidP="0015541B">
                              <w:pPr>
                                <w:spacing w:after="324" w:line="15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lang w:val="en-US" w:eastAsia="es-AR"/>
                                </w:rPr>
                              </w:pPr>
                              <w:bookmarkStart w:id="0" w:name="pa6058438624"/>
                              <w:bookmarkEnd w:id="0"/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lang w:val="en-US" w:eastAsia="es-AR"/>
                                </w:rPr>
                                <w:t>Zahlwörter</w:t>
                              </w:r>
                              <w:proofErr w:type="spellEnd"/>
                            </w:p>
                            <w:tbl>
                              <w:tblPr>
                                <w:tblW w:w="814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145"/>
                              </w:tblGrid>
                              <w:tr w:rsidR="0015541B" w:rsidRPr="0015541B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8145" w:type="dxa"/>
                                    <w:vAlign w:val="center"/>
                                    <w:hideMark/>
                                  </w:tcPr>
                                  <w:p w:rsidR="0015541B" w:rsidRPr="0015541B" w:rsidRDefault="0015541B" w:rsidP="0015541B">
                                    <w:pPr>
                                      <w:spacing w:after="0" w:line="161" w:lineRule="atLeast"/>
                                      <w:rPr>
                                        <w:rFonts w:ascii="Times New Roman" w:eastAsia="Times New Roman" w:hAnsi="Times New Roman" w:cs="Times New Roman"/>
                                        <w:lang w:val="en-US" w:eastAsia="es-A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541B" w:rsidRDefault="0015541B" w:rsidP="0015541B">
                              <w:pPr>
                                <w:spacing w:after="0" w:line="172" w:lineRule="atLeast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lang w:val="en-US" w:eastAsia="es-AR"/>
                                </w:rPr>
                              </w:pP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Wenn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Sie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gram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an</w:t>
                              </w:r>
                              <w:proofErr w:type="gram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Zahlwörter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denken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, fallen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Ihnen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vermutlich</w:t>
                              </w:r>
                              <w:proofErr w:type="spellEnd"/>
                              <w:r w:rsidRPr="009131D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 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eins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,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zwei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,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drei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…</w:t>
                              </w:r>
                              <w:r w:rsidRPr="009131D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 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ein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.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Aber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das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ist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nur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ein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Teil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unseres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Zahlwortbestandes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.</w:t>
                              </w:r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br/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Diese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„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Grundzahlen</w:t>
                              </w:r>
                              <w:proofErr w:type="spellEnd"/>
                              <w:proofErr w:type="gram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“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werden</w:t>
                              </w:r>
                              <w:proofErr w:type="spellEnd"/>
                              <w:proofErr w:type="gram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als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Kardinalzahlen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bezeichnet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,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wobei</w:t>
                              </w:r>
                              <w:proofErr w:type="spellEnd"/>
                              <w:r w:rsidRPr="009131D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 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Kardinal</w:t>
                              </w:r>
                              <w:proofErr w:type="spellEnd"/>
                              <w:r w:rsidRPr="009131D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 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hier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nichts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mit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der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Kirche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zu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tun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hat,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sondern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im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Sinne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von „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grundlegend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,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hauptsächlich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“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verwendet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wird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. Die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Kardinalzahlen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werden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stets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kleingeschrieben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,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wenn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sie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auf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einen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Wert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verweisen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:</w:t>
                              </w:r>
                              <w:r w:rsidRPr="009131D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 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Diese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drei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waren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mir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gleich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sympathisch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.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Nur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wenn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die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Ziffer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selbst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gemeint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ist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,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schreibt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man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groß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:</w:t>
                              </w:r>
                              <w:r w:rsidRPr="009131D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 </w:t>
                              </w:r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Die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blaue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Sieben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vor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der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roten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Drei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sieht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nicht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schlecht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aus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.</w:t>
                              </w:r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br/>
                                <w:t xml:space="preserve">Die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zweite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große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Gruppe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sind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die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Ordinalzahlen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, die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Ordnungszahlen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.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Sie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bringen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die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Dinge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in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eine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bestimmte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Reihenfolge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,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nämlich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als</w:t>
                              </w:r>
                              <w:proofErr w:type="spellEnd"/>
                              <w:r w:rsidRPr="009131D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 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erste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,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zweite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,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dritte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…</w:t>
                              </w:r>
                              <w:r w:rsidRPr="009131D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 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Wenn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sie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als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Ziffern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geschrieben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werden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,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erhalten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sie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einen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Punkt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:</w:t>
                              </w:r>
                              <w:r w:rsidRPr="009131D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 </w:t>
                              </w:r>
                              <w:proofErr w:type="gram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1.,</w:t>
                              </w:r>
                              <w:proofErr w:type="gramEnd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2., 3.</w:t>
                              </w:r>
                              <w:r w:rsidRPr="009131D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 </w:t>
                              </w:r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Die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Schreibweise</w:t>
                              </w:r>
                              <w:proofErr w:type="spellEnd"/>
                              <w:r w:rsidRPr="009131D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 </w:t>
                              </w:r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4te, 80ste</w:t>
                              </w:r>
                              <w:r w:rsidRPr="009131D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 </w:t>
                              </w:r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etc.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sollte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vermieden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werden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,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stattdessen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kann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man</w:t>
                              </w:r>
                              <w:r w:rsidRPr="009131D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 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vierte</w:t>
                              </w:r>
                              <w:proofErr w:type="spellEnd"/>
                              <w:r w:rsidRPr="009131D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 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bzw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.</w:t>
                              </w:r>
                              <w:r w:rsidRPr="009131D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 </w:t>
                              </w:r>
                              <w:proofErr w:type="spellStart"/>
                              <w:proofErr w:type="gram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achtzigste</w:t>
                              </w:r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schreiben</w:t>
                              </w:r>
                              <w:proofErr w:type="spellEnd"/>
                              <w:proofErr w:type="gram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.</w:t>
                              </w:r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br/>
                                <w:t xml:space="preserve">Die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Ordinalzahlen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verhalten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sich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bei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der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Groß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- und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Kleinschreibung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wie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Adjektive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.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Steht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also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ein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Bezugswort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dabei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, so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werden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sie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kleingeschrieben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:</w:t>
                              </w:r>
                              <w:r w:rsidRPr="009131D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 </w:t>
                              </w:r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Heinz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ist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schon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ihr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vierter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Ehemann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!</w:t>
                              </w:r>
                              <w:r w:rsidRPr="009131D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 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Ohne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Bezugswort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schreibt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man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sie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groß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:</w:t>
                              </w:r>
                              <w:r w:rsidRPr="009131D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 </w:t>
                              </w:r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Heinz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ist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der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Dritte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von links.</w:t>
                              </w:r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lang w:val="en-US" w:eastAsia="es-AR"/>
                                </w:rPr>
                                <w:br/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Daneben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gibt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es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im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Deutschen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noch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die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Bruchzahlen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,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denen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wir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uns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unten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ausführlicher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widmen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werden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.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Bis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auf 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Hälfte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 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gehen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diese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zurück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auf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Zusammensetzungen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aus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der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Kardinalzahl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+ </w:t>
                              </w:r>
                              <w:proofErr w:type="spellStart"/>
                              <w:proofErr w:type="gram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Teil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,</w:t>
                              </w:r>
                              <w:proofErr w:type="gram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was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im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Lauf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der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Zeit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zu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 </w:t>
                              </w:r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-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tel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 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verkürzt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wurde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.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Daraus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entstanden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 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viertel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,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achtel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 </w:t>
                              </w:r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etc.</w:t>
                              </w:r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br/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Der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Vollständigkeit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halber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erwähnen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möchten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wir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noch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die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Verteilungszahlwörter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 </w:t>
                              </w:r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(je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zehn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,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jeder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Zwanzigste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)</w:t>
                              </w:r>
                              <w:proofErr w:type="gram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,</w:t>
                              </w:r>
                              <w:proofErr w:type="gramEnd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 </w:t>
                              </w:r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die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Vervielfältigungzahlwörter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 </w:t>
                              </w:r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(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dreifach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,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hundertfach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)</w:t>
                              </w:r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 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sowie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 die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Wiederholungszahlwörter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 </w:t>
                              </w:r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(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zweimal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 xml:space="preserve">, </w:t>
                              </w:r>
                              <w:proofErr w:type="spellStart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manchmal</w:t>
                              </w:r>
                              <w:proofErr w:type="spellEnd"/>
                              <w:r w:rsidRPr="001554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es-AR"/>
                                </w:rPr>
                                <w:t>).</w:t>
                              </w:r>
                            </w:p>
                            <w:p w:rsidR="0015541B" w:rsidRDefault="0015541B" w:rsidP="0015541B">
                              <w:pPr>
                                <w:spacing w:after="0" w:line="172" w:lineRule="atLeast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lang w:val="en-US" w:eastAsia="es-AR"/>
                                </w:rPr>
                              </w:pPr>
                            </w:p>
                            <w:tbl>
                              <w:tblPr>
                                <w:tblW w:w="8700" w:type="dxa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00"/>
                              </w:tblGrid>
                              <w:tr w:rsidR="0015541B" w:rsidRPr="0015541B" w:rsidTr="0015541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5541B" w:rsidRPr="0015541B" w:rsidRDefault="0015541B" w:rsidP="0015541B">
                                    <w:pPr>
                                      <w:spacing w:after="0" w:line="161" w:lineRule="atLeast"/>
                                      <w:rPr>
                                        <w:rFonts w:ascii="Calibri" w:eastAsia="Times New Roman" w:hAnsi="Calibri" w:cs="Times New Roman"/>
                                        <w:color w:val="444444"/>
                                        <w:lang w:eastAsia="es-AR"/>
                                      </w:rPr>
                                    </w:pPr>
                                  </w:p>
                                  <w:tbl>
                                    <w:tblPr>
                                      <w:tblW w:w="855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50"/>
                                      <w:gridCol w:w="8250"/>
                                      <w:gridCol w:w="150"/>
                                    </w:tblGrid>
                                    <w:tr w:rsidR="0015541B" w:rsidRPr="0015541B">
                                      <w:trPr>
                                        <w:trHeight w:val="1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50" w:type="dxa"/>
                                          <w:vAlign w:val="center"/>
                                          <w:hideMark/>
                                        </w:tcPr>
                                        <w:p w:rsidR="0015541B" w:rsidRPr="0015541B" w:rsidRDefault="0015541B" w:rsidP="0015541B">
                                          <w:pPr>
                                            <w:spacing w:after="0" w:line="161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es-A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250" w:type="dxa"/>
                                          <w:vAlign w:val="center"/>
                                          <w:hideMark/>
                                        </w:tcPr>
                                        <w:p w:rsidR="0015541B" w:rsidRPr="0015541B" w:rsidRDefault="0015541B" w:rsidP="0015541B">
                                          <w:pPr>
                                            <w:spacing w:after="0" w:line="161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es-A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vAlign w:val="center"/>
                                          <w:hideMark/>
                                        </w:tcPr>
                                        <w:p w:rsidR="0015541B" w:rsidRPr="0015541B" w:rsidRDefault="0015541B" w:rsidP="0015541B">
                                          <w:pPr>
                                            <w:spacing w:after="0" w:line="161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es-A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5541B" w:rsidRPr="0015541B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50" w:type="dxa"/>
                                          <w:vAlign w:val="center"/>
                                          <w:hideMark/>
                                        </w:tcPr>
                                        <w:p w:rsidR="0015541B" w:rsidRPr="0015541B" w:rsidRDefault="0015541B" w:rsidP="0015541B">
                                          <w:pPr>
                                            <w:spacing w:after="0" w:line="161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es-A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250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15541B" w:rsidRPr="0015541B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825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250"/>
                                                </w:tblGrid>
                                                <w:tr w:rsidR="0015541B" w:rsidRPr="0015541B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8250" w:type="dxa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8250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8250"/>
                                                      </w:tblGrid>
                                                      <w:tr w:rsidR="0015541B" w:rsidRPr="0015541B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8250" w:type="dxa"/>
                                                            <w:hideMark/>
                                                          </w:tcPr>
                                                          <w:p w:rsidR="0015541B" w:rsidRPr="0015541B" w:rsidRDefault="0015541B" w:rsidP="0015541B">
                                                            <w:pPr>
                                                              <w:spacing w:after="0" w:line="161" w:lineRule="atLeas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val="en-US" w:eastAsia="es-AR"/>
                                                              </w:rPr>
                                                            </w:pPr>
                                                            <w:bookmarkStart w:id="1" w:name="pa6058438832"/>
                                                            <w:bookmarkEnd w:id="1"/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Schreibung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von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Bruchzahlen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.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Werden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ausgeschriebene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Bruchzahlen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groß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-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oder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kleingeschrieben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?</w:t>
                                                            </w:r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br/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Beginnen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wir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zunächst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mit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einer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dritten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Möglichkeit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: Die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Bruchzahl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kann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nämlich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auch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mit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dem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Substantiv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, auf das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sie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sich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bezieht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,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zusammengeschrieben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werden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. Das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ist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dann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der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Fall,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wenn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die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beiden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eine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gebräuchliche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Maßeinheit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bilden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. So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ist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in Deutschland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der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Viertelliter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üblich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, und in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der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Musik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spricht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man von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der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Achtelnote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.</w:t>
                                                            </w:r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br/>
                                                              <w:t xml:space="preserve">In den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anderen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Fällen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wird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getrennt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geschrieben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, und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da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wird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es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dann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heikel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, z. B.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bei</w:t>
                                                            </w:r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wir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haben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schon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zwei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Drittel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 (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oder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drittel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?) </w:t>
                                                            </w:r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des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Weges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hinter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uns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 und 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hier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liegt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noch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ein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viertel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(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oder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Viertel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?) 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Brötchen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.</w:t>
                                                            </w:r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br/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Sie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können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sich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hier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mit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einem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einfachen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Trick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behelfen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.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Wenn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Sie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Hälfte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einsetzen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könnten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,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dann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wird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die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Bruchzahl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großgeschrieben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.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Wenn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Sie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jedoch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den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Satz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mit</w:t>
                                                            </w:r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halb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formulieren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können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,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dann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wird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die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Bruchzahl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kleingeschrieben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.</w:t>
                                                            </w:r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br/>
                                                              <w:t xml:space="preserve">Die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Aussage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zwei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Hälften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des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Weges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wäre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grammatisch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in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Ordnung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, also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wird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die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Bruchzahl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großgeschrieben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: 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Wir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haben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schon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zwei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Drittel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des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Weges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hinter uns</w:t>
                                                            </w:r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.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Gegenprobe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: 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zwei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halbe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des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Weges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 – das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funktioniert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eindeutig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nicht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. (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Semantisch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hakt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es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natürlich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,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wenn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von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mehr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als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zwei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Hälften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die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Rede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ist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,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aber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hier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geht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es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nur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um die Grammatik.)</w:t>
                                                            </w:r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br/>
                                                              <w:t xml:space="preserve">Das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zweite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Beispiel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wird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kleingeschrieben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: 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Hier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liegt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noch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ein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viertel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Brötchen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. 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Da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die Probe 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ein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halbes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Brötchen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korrekt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ist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,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verhält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sich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viertel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in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diesem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Fall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nämlich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wie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ein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Adjektiv</w:t>
                                                            </w:r>
                                                            <w:proofErr w:type="spellEnd"/>
                                                            <w:r w:rsidRPr="0015541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lang w:val="en-US" w:eastAsia="es-AR"/>
                                                              </w:rPr>
                                                              <w:t>.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5541B" w:rsidRPr="0015541B" w:rsidRDefault="0015541B" w:rsidP="0015541B">
                                                      <w:pPr>
                                                        <w:spacing w:after="0" w:line="161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lang w:val="en-US" w:eastAsia="es-A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5541B" w:rsidRPr="0015541B" w:rsidRDefault="0015541B" w:rsidP="0015541B">
                                                <w:pPr>
                                                  <w:spacing w:after="0" w:line="161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val="en-US" w:eastAsia="es-A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5541B" w:rsidRPr="0015541B" w:rsidRDefault="0015541B" w:rsidP="0015541B">
                                          <w:pPr>
                                            <w:spacing w:after="0" w:line="161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lang w:val="en-US" w:eastAsia="es-A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5541B" w:rsidRPr="0015541B" w:rsidRDefault="0015541B" w:rsidP="0015541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val="en-US" w:eastAsia="es-A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5541B" w:rsidRPr="0015541B" w:rsidRDefault="0015541B" w:rsidP="0015541B">
                                    <w:pPr>
                                      <w:spacing w:after="0" w:line="161" w:lineRule="atLeast"/>
                                      <w:rPr>
                                        <w:rFonts w:ascii="Calibri" w:eastAsia="Times New Roman" w:hAnsi="Calibri" w:cs="Times New Roman"/>
                                        <w:color w:val="444444"/>
                                        <w:lang w:val="en-US" w:eastAsia="es-A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541B" w:rsidRPr="0015541B" w:rsidRDefault="0015541B" w:rsidP="0015541B">
                              <w:pPr>
                                <w:spacing w:after="0" w:line="172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lang w:val="en-US" w:eastAsia="es-AR"/>
                                </w:rPr>
                              </w:pPr>
                            </w:p>
                          </w:tc>
                        </w:tr>
                      </w:tbl>
                      <w:p w:rsidR="0015541B" w:rsidRPr="0015541B" w:rsidRDefault="0015541B" w:rsidP="0015541B">
                        <w:pPr>
                          <w:spacing w:after="0" w:line="161" w:lineRule="atLeast"/>
                          <w:rPr>
                            <w:rFonts w:ascii="Times New Roman" w:eastAsia="Times New Roman" w:hAnsi="Times New Roman" w:cs="Times New Roman"/>
                            <w:lang w:val="en-US" w:eastAsia="es-AR"/>
                          </w:rPr>
                        </w:pPr>
                      </w:p>
                    </w:tc>
                  </w:tr>
                </w:tbl>
                <w:p w:rsidR="0015541B" w:rsidRPr="0015541B" w:rsidRDefault="0015541B" w:rsidP="0015541B">
                  <w:pPr>
                    <w:spacing w:after="0" w:line="161" w:lineRule="atLeast"/>
                    <w:rPr>
                      <w:rFonts w:ascii="Times New Roman" w:eastAsia="Times New Roman" w:hAnsi="Times New Roman" w:cs="Times New Roman"/>
                      <w:lang w:val="en-US" w:eastAsia="es-AR"/>
                    </w:rPr>
                  </w:pPr>
                </w:p>
              </w:tc>
            </w:tr>
          </w:tbl>
          <w:p w:rsidR="0015541B" w:rsidRPr="0015541B" w:rsidRDefault="0015541B" w:rsidP="0015541B">
            <w:pPr>
              <w:spacing w:after="0" w:line="161" w:lineRule="atLeast"/>
              <w:rPr>
                <w:rFonts w:ascii="Calibri" w:eastAsia="Times New Roman" w:hAnsi="Calibri" w:cs="Times New Roman"/>
                <w:color w:val="444444"/>
                <w:lang w:val="en-US" w:eastAsia="es-AR"/>
              </w:rPr>
            </w:pPr>
          </w:p>
        </w:tc>
      </w:tr>
    </w:tbl>
    <w:p w:rsidR="005121A1" w:rsidRPr="0015541B" w:rsidRDefault="005121A1">
      <w:pPr>
        <w:rPr>
          <w:lang w:val="en-US"/>
        </w:rPr>
      </w:pPr>
    </w:p>
    <w:sectPr w:rsidR="005121A1" w:rsidRPr="0015541B" w:rsidSect="0015541B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5541B"/>
    <w:rsid w:val="0015541B"/>
    <w:rsid w:val="005121A1"/>
    <w:rsid w:val="0091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155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2015-06-01T22:57:00Z</dcterms:created>
  <dcterms:modified xsi:type="dcterms:W3CDTF">2015-06-01T23:03:00Z</dcterms:modified>
</cp:coreProperties>
</file>