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91" w:rsidRPr="009D3E72" w:rsidRDefault="009819A5">
      <w:pPr>
        <w:rPr>
          <w:lang w:val="de-DE"/>
        </w:rPr>
      </w:pPr>
      <w:r w:rsidRPr="009D3E72">
        <w:rPr>
          <w:lang w:val="de-DE"/>
        </w:rPr>
        <w:t>Bundesverfassungsgericht BRD</w:t>
      </w:r>
    </w:p>
    <w:p w:rsidR="009819A5" w:rsidRPr="006C2C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r w:rsidRPr="00870186">
        <w:rPr>
          <w:rFonts w:ascii="Arial" w:hAnsi="Arial" w:cs="Arial"/>
          <w:color w:val="C00000"/>
          <w:lang w:val="de-DE"/>
        </w:rPr>
        <w:t>Das</w:t>
      </w:r>
      <w:r w:rsidRPr="00870186">
        <w:rPr>
          <w:rStyle w:val="apple-converted-space"/>
          <w:rFonts w:ascii="Arial" w:eastAsiaTheme="majorEastAsia" w:hAnsi="Arial" w:cs="Arial"/>
          <w:color w:val="C00000"/>
          <w:lang w:val="de-DE"/>
        </w:rPr>
        <w:t> </w:t>
      </w:r>
      <w:r w:rsidRPr="00870186">
        <w:rPr>
          <w:rFonts w:ascii="Arial" w:hAnsi="Arial" w:cs="Arial"/>
          <w:b/>
          <w:bCs/>
          <w:color w:val="C00000"/>
          <w:lang w:val="de-DE"/>
        </w:rPr>
        <w:t>Bundesverfassungsgericht</w:t>
      </w:r>
      <w:r w:rsidRPr="00870186">
        <w:rPr>
          <w:rStyle w:val="apple-converted-space"/>
          <w:rFonts w:ascii="Arial" w:eastAsiaTheme="majorEastAsia" w:hAnsi="Arial" w:cs="Arial"/>
          <w:color w:val="C00000"/>
          <w:lang w:val="de-DE"/>
        </w:rPr>
        <w:t> </w:t>
      </w:r>
      <w:r w:rsidRPr="00870186">
        <w:rPr>
          <w:rFonts w:ascii="Arial" w:hAnsi="Arial" w:cs="Arial"/>
          <w:color w:val="C00000"/>
          <w:lang w:val="de-DE"/>
        </w:rPr>
        <w:t>(</w:t>
      </w:r>
      <w:r w:rsidRPr="00870186">
        <w:rPr>
          <w:rFonts w:ascii="Arial" w:hAnsi="Arial" w:cs="Arial"/>
          <w:b/>
          <w:bCs/>
          <w:color w:val="C00000"/>
          <w:lang w:val="de-DE"/>
        </w:rPr>
        <w:t>BVerfG</w:t>
      </w:r>
      <w:r w:rsidRPr="00870186">
        <w:rPr>
          <w:rFonts w:ascii="Arial" w:hAnsi="Arial" w:cs="Arial"/>
          <w:color w:val="C00000"/>
          <w:lang w:val="de-DE"/>
        </w:rPr>
        <w:t>)</w:t>
      </w:r>
      <w:r w:rsidRPr="006C2C86">
        <w:rPr>
          <w:rFonts w:ascii="Arial" w:hAnsi="Arial" w:cs="Arial"/>
          <w:color w:val="365F91" w:themeColor="accent1" w:themeShade="BF"/>
          <w:lang w:val="de-DE"/>
        </w:rPr>
        <w:t xml:space="preserve"> ist in der</w:t>
      </w:r>
      <w:r w:rsidRPr="006C2C86">
        <w:rPr>
          <w:rStyle w:val="apple-converted-space"/>
          <w:rFonts w:ascii="Arial" w:eastAsiaTheme="majorEastAsia" w:hAnsi="Arial" w:cs="Arial"/>
          <w:color w:val="365F91" w:themeColor="accent1" w:themeShade="BF"/>
          <w:lang w:val="de-DE"/>
        </w:rPr>
        <w:t> </w:t>
      </w:r>
      <w:hyperlink r:id="rId5" w:tooltip="Deutschland" w:history="1">
        <w:r w:rsidRPr="006C2C86">
          <w:rPr>
            <w:rStyle w:val="Hipervnculo"/>
            <w:rFonts w:ascii="Arial" w:eastAsiaTheme="majorEastAsia" w:hAnsi="Arial" w:cs="Arial"/>
            <w:color w:val="365F91" w:themeColor="accent1" w:themeShade="BF"/>
            <w:lang w:val="de-DE"/>
          </w:rPr>
          <w:t>Bundesrepublik Deutschland</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das</w:t>
      </w:r>
      <w:r w:rsidRPr="006C2C86">
        <w:rPr>
          <w:rStyle w:val="apple-converted-space"/>
          <w:rFonts w:ascii="Arial" w:eastAsiaTheme="majorEastAsia" w:hAnsi="Arial" w:cs="Arial"/>
          <w:color w:val="365F91" w:themeColor="accent1" w:themeShade="BF"/>
          <w:lang w:val="de-DE"/>
        </w:rPr>
        <w:t> </w:t>
      </w:r>
      <w:hyperlink r:id="rId6" w:tooltip="Verfassungsgerichtsbarkeit" w:history="1">
        <w:r w:rsidRPr="006C2C86">
          <w:rPr>
            <w:rStyle w:val="Hipervnculo"/>
            <w:rFonts w:ascii="Arial" w:eastAsiaTheme="majorEastAsia" w:hAnsi="Arial" w:cs="Arial"/>
            <w:color w:val="365F91" w:themeColor="accent1" w:themeShade="BF"/>
            <w:lang w:val="de-DE"/>
          </w:rPr>
          <w:t>Verfassungsgericht</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des</w:t>
      </w:r>
      <w:r w:rsidRPr="006C2C86">
        <w:rPr>
          <w:rStyle w:val="apple-converted-space"/>
          <w:rFonts w:ascii="Arial" w:eastAsiaTheme="majorEastAsia" w:hAnsi="Arial" w:cs="Arial"/>
          <w:color w:val="365F91" w:themeColor="accent1" w:themeShade="BF"/>
          <w:lang w:val="de-DE"/>
        </w:rPr>
        <w:t> </w:t>
      </w:r>
      <w:hyperlink r:id="rId7" w:tooltip="Bundesebene (Deutschland)" w:history="1">
        <w:r w:rsidRPr="006C2C86">
          <w:rPr>
            <w:rStyle w:val="Hipervnculo"/>
            <w:rFonts w:ascii="Arial" w:eastAsiaTheme="majorEastAsia" w:hAnsi="Arial" w:cs="Arial"/>
            <w:color w:val="365F91" w:themeColor="accent1" w:themeShade="BF"/>
            <w:lang w:val="de-DE"/>
          </w:rPr>
          <w:t>Bundes</w:t>
        </w:r>
      </w:hyperlink>
      <w:r w:rsidRPr="006C2C86">
        <w:rPr>
          <w:rFonts w:ascii="Arial" w:hAnsi="Arial" w:cs="Arial"/>
          <w:color w:val="365F91" w:themeColor="accent1" w:themeShade="BF"/>
          <w:lang w:val="de-DE"/>
        </w:rPr>
        <w:t>. Als Hüter der</w:t>
      </w:r>
      <w:r w:rsidRPr="006C2C86">
        <w:rPr>
          <w:rStyle w:val="apple-converted-space"/>
          <w:rFonts w:ascii="Arial" w:eastAsiaTheme="majorEastAsia" w:hAnsi="Arial" w:cs="Arial"/>
          <w:color w:val="365F91" w:themeColor="accent1" w:themeShade="BF"/>
          <w:lang w:val="de-DE"/>
        </w:rPr>
        <w:t> </w:t>
      </w:r>
      <w:hyperlink r:id="rId8" w:tooltip="Grundgesetz für die Bundesrepublik Deutschland" w:history="1">
        <w:r w:rsidRPr="006C2C86">
          <w:rPr>
            <w:rStyle w:val="Hipervnculo"/>
            <w:rFonts w:ascii="Arial" w:eastAsiaTheme="majorEastAsia" w:hAnsi="Arial" w:cs="Arial"/>
            <w:color w:val="365F91" w:themeColor="accent1" w:themeShade="BF"/>
            <w:lang w:val="de-DE"/>
          </w:rPr>
          <w:t>deutschen Verfassung</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hat das Gericht eine Doppelrolle einerseits als unabhängiges</w:t>
      </w:r>
      <w:r w:rsidR="00FC7879">
        <w:fldChar w:fldCharType="begin"/>
      </w:r>
      <w:r w:rsidR="00FF087B" w:rsidRPr="009D3E72">
        <w:rPr>
          <w:lang w:val="de-DE"/>
        </w:rPr>
        <w:instrText>HYPERLINK "http://de.wikipedia.org/wiki/Verfassungsorgan" \o "Verfassungsorgan"</w:instrText>
      </w:r>
      <w:r w:rsidR="00FC7879">
        <w:fldChar w:fldCharType="separate"/>
      </w:r>
      <w:r w:rsidRPr="006C2C86">
        <w:rPr>
          <w:rStyle w:val="Hipervnculo"/>
          <w:rFonts w:ascii="Arial" w:eastAsiaTheme="majorEastAsia" w:hAnsi="Arial" w:cs="Arial"/>
          <w:color w:val="365F91" w:themeColor="accent1" w:themeShade="BF"/>
          <w:lang w:val="de-DE"/>
        </w:rPr>
        <w:t>Verfassungsorgan</w:t>
      </w:r>
      <w:r w:rsidR="00FC7879">
        <w:fldChar w:fldCharType="end"/>
      </w:r>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und andererseits als Teil der</w:t>
      </w:r>
      <w:r w:rsidRPr="006C2C86">
        <w:rPr>
          <w:rStyle w:val="apple-converted-space"/>
          <w:rFonts w:ascii="Arial" w:eastAsiaTheme="majorEastAsia" w:hAnsi="Arial" w:cs="Arial"/>
          <w:color w:val="365F91" w:themeColor="accent1" w:themeShade="BF"/>
          <w:lang w:val="de-DE"/>
        </w:rPr>
        <w:t> </w:t>
      </w:r>
      <w:hyperlink r:id="rId9" w:tooltip="Judikative" w:history="1">
        <w:r w:rsidRPr="006C2C86">
          <w:rPr>
            <w:rStyle w:val="Hipervnculo"/>
            <w:rFonts w:ascii="Arial" w:eastAsiaTheme="majorEastAsia" w:hAnsi="Arial" w:cs="Arial"/>
            <w:color w:val="365F91" w:themeColor="accent1" w:themeShade="BF"/>
            <w:lang w:val="de-DE"/>
          </w:rPr>
          <w:t>judikativen Staatsgewalt</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auf dem speziellen Gebiet des</w:t>
      </w:r>
      <w:r w:rsidRPr="006C2C86">
        <w:rPr>
          <w:rStyle w:val="apple-converted-space"/>
          <w:rFonts w:ascii="Arial" w:eastAsiaTheme="majorEastAsia" w:hAnsi="Arial" w:cs="Arial"/>
          <w:color w:val="365F91" w:themeColor="accent1" w:themeShade="BF"/>
          <w:lang w:val="de-DE"/>
        </w:rPr>
        <w:t> </w:t>
      </w:r>
      <w:hyperlink r:id="rId10" w:tooltip="Staatsrecht (Deutschland)" w:history="1">
        <w:r w:rsidRPr="006C2C86">
          <w:rPr>
            <w:rStyle w:val="Hipervnculo"/>
            <w:rFonts w:ascii="Arial" w:eastAsiaTheme="majorEastAsia" w:hAnsi="Arial" w:cs="Arial"/>
            <w:color w:val="365F91" w:themeColor="accent1" w:themeShade="BF"/>
            <w:lang w:val="de-DE"/>
          </w:rPr>
          <w:t>Staats-</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und</w:t>
      </w:r>
      <w:r w:rsidRPr="006C2C86">
        <w:rPr>
          <w:rStyle w:val="apple-converted-space"/>
          <w:rFonts w:ascii="Arial" w:eastAsiaTheme="majorEastAsia" w:hAnsi="Arial" w:cs="Arial"/>
          <w:color w:val="365F91" w:themeColor="accent1" w:themeShade="BF"/>
          <w:lang w:val="de-DE"/>
        </w:rPr>
        <w:t> </w:t>
      </w:r>
      <w:hyperlink r:id="rId11" w:tooltip="Völkerrecht" w:history="1">
        <w:r w:rsidRPr="006C2C86">
          <w:rPr>
            <w:rStyle w:val="Hipervnculo"/>
            <w:rFonts w:ascii="Arial" w:eastAsiaTheme="majorEastAsia" w:hAnsi="Arial" w:cs="Arial"/>
            <w:color w:val="365F91" w:themeColor="accent1" w:themeShade="BF"/>
            <w:lang w:val="de-DE"/>
          </w:rPr>
          <w:t>Völkerrechts</w:t>
        </w:r>
      </w:hyperlink>
      <w:r w:rsidRPr="006C2C86">
        <w:rPr>
          <w:rFonts w:ascii="Arial" w:hAnsi="Arial" w:cs="Arial"/>
          <w:color w:val="365F91" w:themeColor="accent1" w:themeShade="BF"/>
          <w:lang w:val="de-DE"/>
        </w:rPr>
        <w:t>. Durch seine maßgeblichen Entscheidungen liefert es eine verbindliche Interpretation der Verfassung.</w:t>
      </w:r>
      <w:hyperlink r:id="rId12" w:anchor="cite_note-2" w:history="1">
        <w:r w:rsidRPr="006C2C86">
          <w:rPr>
            <w:rStyle w:val="Hipervnculo"/>
            <w:rFonts w:ascii="Arial" w:eastAsiaTheme="majorEastAsia" w:hAnsi="Arial" w:cs="Arial"/>
            <w:color w:val="365F91" w:themeColor="accent1" w:themeShade="BF"/>
            <w:vertAlign w:val="superscript"/>
            <w:lang w:val="de-DE"/>
          </w:rPr>
          <w:t>[2]</w:t>
        </w:r>
      </w:hyperlink>
      <w:hyperlink r:id="rId13" w:anchor="cite_note-3" w:history="1">
        <w:r w:rsidRPr="006C2C86">
          <w:rPr>
            <w:rStyle w:val="Hipervnculo"/>
            <w:rFonts w:ascii="Arial" w:eastAsiaTheme="majorEastAsia" w:hAnsi="Arial" w:cs="Arial"/>
            <w:color w:val="365F91" w:themeColor="accent1" w:themeShade="BF"/>
            <w:vertAlign w:val="superscript"/>
            <w:lang w:val="de-DE"/>
          </w:rPr>
          <w:t>[3]</w:t>
        </w:r>
      </w:hyperlink>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r w:rsidRPr="006C2C86">
        <w:rPr>
          <w:rFonts w:ascii="Arial" w:hAnsi="Arial" w:cs="Arial"/>
          <w:color w:val="365F91" w:themeColor="accent1" w:themeShade="BF"/>
          <w:lang w:val="de-DE"/>
        </w:rPr>
        <w:t>Obwohl es Entscheidungen anderer Gerichte kontrolliert, gehört es nicht zum</w:t>
      </w:r>
      <w:r w:rsidRPr="006C2C86">
        <w:rPr>
          <w:rStyle w:val="apple-converted-space"/>
          <w:rFonts w:ascii="Arial" w:eastAsiaTheme="majorEastAsia" w:hAnsi="Arial" w:cs="Arial"/>
          <w:color w:val="365F91" w:themeColor="accent1" w:themeShade="BF"/>
          <w:lang w:val="de-DE"/>
        </w:rPr>
        <w:t> </w:t>
      </w:r>
      <w:hyperlink r:id="rId14" w:tooltip="Instanz (Recht)" w:history="1">
        <w:r w:rsidRPr="006C2C86">
          <w:rPr>
            <w:rStyle w:val="Hipervnculo"/>
            <w:rFonts w:ascii="Arial" w:eastAsiaTheme="majorEastAsia" w:hAnsi="Arial" w:cs="Arial"/>
            <w:color w:val="365F91" w:themeColor="accent1" w:themeShade="BF"/>
            <w:lang w:val="de-DE"/>
          </w:rPr>
          <w:t>Instanzenzug</w:t>
        </w:r>
      </w:hyperlink>
      <w:r w:rsidRPr="006C2C86">
        <w:rPr>
          <w:rFonts w:ascii="Arial" w:hAnsi="Arial" w:cs="Arial"/>
          <w:color w:val="365F91" w:themeColor="accent1" w:themeShade="BF"/>
          <w:lang w:val="de-DE"/>
        </w:rPr>
        <w:t>, sondern überprüft sie als Akte der</w:t>
      </w:r>
      <w:r w:rsidRPr="006C2C86">
        <w:rPr>
          <w:rStyle w:val="apple-converted-space"/>
          <w:rFonts w:ascii="Arial" w:eastAsiaTheme="majorEastAsia" w:hAnsi="Arial" w:cs="Arial"/>
          <w:color w:val="365F91" w:themeColor="accent1" w:themeShade="BF"/>
          <w:lang w:val="de-DE"/>
        </w:rPr>
        <w:t> </w:t>
      </w:r>
      <w:hyperlink r:id="rId15" w:tooltip="Staatsgewalt" w:history="1">
        <w:r w:rsidRPr="006C2C86">
          <w:rPr>
            <w:rStyle w:val="Hipervnculo"/>
            <w:rFonts w:ascii="Arial" w:eastAsiaTheme="majorEastAsia" w:hAnsi="Arial" w:cs="Arial"/>
            <w:color w:val="365F91" w:themeColor="accent1" w:themeShade="BF"/>
            <w:lang w:val="de-DE"/>
          </w:rPr>
          <w:t>Staatsgewalt</w:t>
        </w:r>
      </w:hyperlink>
      <w:r w:rsidRPr="006C2C86">
        <w:rPr>
          <w:rFonts w:ascii="Arial" w:hAnsi="Arial" w:cs="Arial"/>
          <w:color w:val="365F91" w:themeColor="accent1" w:themeShade="BF"/>
          <w:lang w:val="de-DE"/>
        </w:rPr>
        <w:t>, wie das Handeln von allen anderen</w:t>
      </w:r>
      <w:r w:rsidRPr="006C2C86">
        <w:rPr>
          <w:rStyle w:val="apple-converted-space"/>
          <w:rFonts w:ascii="Arial" w:eastAsiaTheme="majorEastAsia" w:hAnsi="Arial" w:cs="Arial"/>
          <w:color w:val="365F91" w:themeColor="accent1" w:themeShade="BF"/>
          <w:lang w:val="de-DE"/>
        </w:rPr>
        <w:t> </w:t>
      </w:r>
      <w:hyperlink r:id="rId16" w:tooltip="Organ (Recht)" w:history="1">
        <w:r w:rsidRPr="006C2C86">
          <w:rPr>
            <w:rStyle w:val="Hipervnculo"/>
            <w:rFonts w:ascii="Arial" w:eastAsiaTheme="majorEastAsia" w:hAnsi="Arial" w:cs="Arial"/>
            <w:color w:val="365F91" w:themeColor="accent1" w:themeShade="BF"/>
            <w:lang w:val="de-DE"/>
          </w:rPr>
          <w:t>Staatsorganen</w:t>
        </w:r>
      </w:hyperlink>
      <w:r w:rsidRPr="006C2C86">
        <w:rPr>
          <w:rFonts w:ascii="Arial" w:hAnsi="Arial" w:cs="Arial"/>
          <w:color w:val="365F91" w:themeColor="accent1" w:themeShade="BF"/>
          <w:lang w:val="de-DE"/>
        </w:rPr>
        <w:t>. Dabei findet keine vollständige Rechtsprüfung statt, sondern eine Entscheidung am Maßstab des</w:t>
      </w:r>
      <w:r w:rsidRPr="006C2C86">
        <w:rPr>
          <w:rStyle w:val="apple-converted-space"/>
          <w:rFonts w:ascii="Arial" w:eastAsiaTheme="majorEastAsia" w:hAnsi="Arial" w:cs="Arial"/>
          <w:color w:val="365F91" w:themeColor="accent1" w:themeShade="BF"/>
          <w:lang w:val="de-DE"/>
        </w:rPr>
        <w:t> </w:t>
      </w:r>
      <w:hyperlink r:id="rId17" w:tooltip="Verfassungsrecht" w:history="1">
        <w:r w:rsidRPr="006C2C86">
          <w:rPr>
            <w:rStyle w:val="Hipervnculo"/>
            <w:rFonts w:ascii="Arial" w:eastAsiaTheme="majorEastAsia" w:hAnsi="Arial" w:cs="Arial"/>
            <w:color w:val="365F91" w:themeColor="accent1" w:themeShade="BF"/>
            <w:lang w:val="de-DE"/>
          </w:rPr>
          <w:t>Verfassungsrechts</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gemäß</w:t>
      </w:r>
      <w:r w:rsidRPr="006C2C86">
        <w:rPr>
          <w:rStyle w:val="apple-converted-space"/>
          <w:rFonts w:ascii="Arial" w:eastAsiaTheme="majorEastAsia" w:hAnsi="Arial" w:cs="Arial"/>
          <w:color w:val="365F91" w:themeColor="accent1" w:themeShade="BF"/>
          <w:lang w:val="de-DE"/>
        </w:rPr>
        <w:t> </w:t>
      </w:r>
      <w:hyperlink r:id="rId18" w:history="1">
        <w:r w:rsidRPr="006C2C86">
          <w:rPr>
            <w:rStyle w:val="Hipervnculo"/>
            <w:rFonts w:ascii="Arial" w:eastAsiaTheme="majorEastAsia" w:hAnsi="Arial" w:cs="Arial"/>
            <w:color w:val="365F91" w:themeColor="accent1" w:themeShade="BF"/>
            <w:lang w:val="de-DE"/>
          </w:rPr>
          <w:t>Art. 93</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Abs. 1 GG. Insofern ist es unzutreffend, das Verfassungsgericht als das</w:t>
      </w:r>
      <w:r w:rsidRPr="006C2C86">
        <w:rPr>
          <w:rStyle w:val="apple-converted-space"/>
          <w:rFonts w:ascii="Arial" w:eastAsiaTheme="majorEastAsia" w:hAnsi="Arial" w:cs="Arial"/>
          <w:color w:val="365F91" w:themeColor="accent1" w:themeShade="BF"/>
          <w:lang w:val="de-DE"/>
        </w:rPr>
        <w:t> </w:t>
      </w:r>
      <w:hyperlink r:id="rId19" w:anchor="Deutschland" w:tooltip="Oberste Gerichtshöfe" w:history="1">
        <w:r w:rsidRPr="006C2C86">
          <w:rPr>
            <w:rStyle w:val="Hipervnculo"/>
            <w:rFonts w:ascii="Arial" w:eastAsiaTheme="majorEastAsia" w:hAnsi="Arial" w:cs="Arial"/>
            <w:color w:val="365F91" w:themeColor="accent1" w:themeShade="BF"/>
            <w:lang w:val="de-DE"/>
          </w:rPr>
          <w:t>oberste deutsche Gericht</w:t>
        </w:r>
      </w:hyperlink>
      <w:r w:rsidRPr="006C2C86">
        <w:rPr>
          <w:rStyle w:val="apple-converted-space"/>
          <w:rFonts w:ascii="Arial" w:eastAsiaTheme="majorEastAsia" w:hAnsi="Arial" w:cs="Arial"/>
          <w:color w:val="365F91" w:themeColor="accent1" w:themeShade="BF"/>
          <w:lang w:val="de-DE"/>
        </w:rPr>
        <w:t> </w:t>
      </w:r>
      <w:r w:rsidRPr="006C2C86">
        <w:rPr>
          <w:rFonts w:ascii="Arial" w:hAnsi="Arial" w:cs="Arial"/>
          <w:color w:val="365F91" w:themeColor="accent1" w:themeShade="BF"/>
          <w:lang w:val="de-DE"/>
        </w:rPr>
        <w:t>zu bezeichnen.</w:t>
      </w:r>
    </w:p>
    <w:p w:rsidR="009819A5" w:rsidRPr="00EA31FC" w:rsidRDefault="009819A5" w:rsidP="00EA31FC">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besondere Bedeutung des Bundesverfassungsgerichts kommt in</w:t>
      </w:r>
      <w:r w:rsidRPr="00AA473C">
        <w:rPr>
          <w:rStyle w:val="apple-converted-space"/>
          <w:rFonts w:ascii="Arial" w:eastAsiaTheme="majorEastAsia" w:hAnsi="Arial" w:cs="Arial"/>
          <w:color w:val="000000"/>
          <w:sz w:val="20"/>
          <w:szCs w:val="20"/>
          <w:lang w:val="de-DE"/>
        </w:rPr>
        <w:t> </w:t>
      </w:r>
      <w:hyperlink r:id="rId20" w:history="1">
        <w:r w:rsidRPr="00AA473C">
          <w:rPr>
            <w:rStyle w:val="Hipervnculo"/>
            <w:rFonts w:ascii="Arial" w:hAnsi="Arial" w:cs="Arial"/>
            <w:color w:val="663366"/>
            <w:sz w:val="20"/>
            <w:szCs w:val="20"/>
            <w:lang w:val="de-DE"/>
          </w:rPr>
          <w:t>§ 31</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1</w:t>
      </w:r>
      <w:r w:rsidRPr="00AA473C">
        <w:rPr>
          <w:rStyle w:val="apple-converted-space"/>
          <w:rFonts w:ascii="Arial" w:eastAsiaTheme="majorEastAsia" w:hAnsi="Arial" w:cs="Arial"/>
          <w:color w:val="000000"/>
          <w:sz w:val="20"/>
          <w:szCs w:val="20"/>
          <w:lang w:val="de-DE"/>
        </w:rPr>
        <w:t> </w:t>
      </w:r>
      <w:hyperlink r:id="rId21" w:tooltip="Bundesverfassungsgerichtsgesetz" w:history="1">
        <w:r w:rsidRPr="00AA473C">
          <w:rPr>
            <w:rStyle w:val="Hipervnculo"/>
            <w:rFonts w:ascii="Arial" w:hAnsi="Arial" w:cs="Arial"/>
            <w:color w:val="0B0080"/>
            <w:sz w:val="20"/>
            <w:szCs w:val="20"/>
            <w:lang w:val="de-DE"/>
          </w:rPr>
          <w:t>BVerfGG</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zum Ausdruck:</w:t>
      </w:r>
      <w:r w:rsidR="00EA31FC">
        <w:rPr>
          <w:rFonts w:ascii="Arial" w:hAnsi="Arial" w:cs="Arial"/>
          <w:color w:val="000000"/>
          <w:sz w:val="20"/>
          <w:szCs w:val="20"/>
          <w:lang w:val="de-DE"/>
        </w:rPr>
        <w:t xml:space="preserve"> </w:t>
      </w:r>
      <w:r w:rsidRPr="003701BC">
        <w:rPr>
          <w:rFonts w:ascii="Arial" w:hAnsi="Arial" w:cs="Arial"/>
          <w:color w:val="943634" w:themeColor="accent2" w:themeShade="BF"/>
          <w:sz w:val="20"/>
          <w:szCs w:val="20"/>
          <w:lang w:val="de-DE"/>
        </w:rPr>
        <w:t>„Die Entscheidungen des Bundesverfassungsgerichts binden die Verfassungsorgane des Bundes und der Länder sowie alle Gerichte und Behörden.“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formelle Bindungswirkung einer Entscheidung besteht nur im konkreten Fall</w:t>
      </w:r>
      <w:r w:rsidRPr="00AA473C">
        <w:rPr>
          <w:rStyle w:val="apple-converted-space"/>
          <w:rFonts w:ascii="Arial" w:eastAsiaTheme="majorEastAsia" w:hAnsi="Arial" w:cs="Arial"/>
          <w:color w:val="000000"/>
          <w:sz w:val="20"/>
          <w:szCs w:val="20"/>
          <w:lang w:val="de-DE"/>
        </w:rPr>
        <w:t> </w:t>
      </w:r>
      <w:r w:rsidRPr="00AA473C">
        <w:rPr>
          <w:rFonts w:ascii="Arial" w:hAnsi="Arial" w:cs="Arial"/>
          <w:i/>
          <w:iCs/>
          <w:color w:val="000000"/>
          <w:sz w:val="20"/>
          <w:szCs w:val="20"/>
          <w:lang w:val="de-DE"/>
        </w:rPr>
        <w:t>(</w:t>
      </w:r>
      <w:hyperlink r:id="rId22" w:tooltip="Inter partes" w:history="1">
        <w:r>
          <w:rPr>
            <w:rStyle w:val="Hipervnculo"/>
            <w:rFonts w:ascii="Arial" w:hAnsi="Arial" w:cs="Arial"/>
            <w:i/>
            <w:iCs/>
            <w:color w:val="0B0080"/>
            <w:sz w:val="20"/>
            <w:szCs w:val="20"/>
            <w:lang w:val="la-Latn"/>
          </w:rPr>
          <w:t>inter partes</w:t>
        </w:r>
      </w:hyperlink>
      <w:r w:rsidRPr="00AA473C">
        <w:rPr>
          <w:rFonts w:ascii="Arial" w:hAnsi="Arial" w:cs="Arial"/>
          <w:i/>
          <w:iCs/>
          <w:color w:val="000000"/>
          <w:sz w:val="20"/>
          <w:szCs w:val="20"/>
          <w:lang w:val="de-DE"/>
        </w:rPr>
        <w:t>).</w:t>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Es besteht keine inhaltliche Bindung für andere Gerichte an die ausgeurteilte Rechtsmeinung des Gerichts. Diese haben keine Gesetzeskraft. Die Rechtsmeinung des Bundesverfassungsgerichts ist aber eine Richtschnur für die untergeordneten Gerichte, die meist auch befolgt wird. Abweichungen sind recht selten. Jedes Gericht kann aber in einem anderen gleich oder ähnlich gelagerten Fall einer anderen juristischen Meinung folgen, wenn es dies für richtig hält.</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In den in</w:t>
      </w:r>
      <w:r w:rsidRPr="00AA473C">
        <w:rPr>
          <w:rStyle w:val="apple-converted-space"/>
          <w:rFonts w:ascii="Arial" w:eastAsiaTheme="majorEastAsia" w:hAnsi="Arial" w:cs="Arial"/>
          <w:color w:val="000000"/>
          <w:sz w:val="20"/>
          <w:szCs w:val="20"/>
          <w:lang w:val="de-DE"/>
        </w:rPr>
        <w:t> </w:t>
      </w:r>
      <w:hyperlink r:id="rId23" w:history="1">
        <w:r w:rsidRPr="00AA473C">
          <w:rPr>
            <w:rStyle w:val="Hipervnculo"/>
            <w:rFonts w:ascii="Arial" w:hAnsi="Arial" w:cs="Arial"/>
            <w:color w:val="663366"/>
            <w:sz w:val="20"/>
            <w:szCs w:val="20"/>
            <w:lang w:val="de-DE"/>
          </w:rPr>
          <w:t>§ 31</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2 BVerfGG genannten Fällen haben die Entscheidungen des Gerichts jedoch Gesetzeskraft und gelten für jedermann</w:t>
      </w:r>
      <w:r w:rsidRPr="00AA473C">
        <w:rPr>
          <w:rStyle w:val="apple-converted-space"/>
          <w:rFonts w:ascii="Arial" w:eastAsiaTheme="majorEastAsia" w:hAnsi="Arial" w:cs="Arial"/>
          <w:color w:val="000000"/>
          <w:sz w:val="20"/>
          <w:szCs w:val="20"/>
          <w:lang w:val="de-DE"/>
        </w:rPr>
        <w:t> </w:t>
      </w:r>
      <w:r w:rsidRPr="00AA473C">
        <w:rPr>
          <w:rFonts w:ascii="Arial" w:hAnsi="Arial" w:cs="Arial"/>
          <w:i/>
          <w:iCs/>
          <w:color w:val="000000"/>
          <w:sz w:val="20"/>
          <w:szCs w:val="20"/>
          <w:lang w:val="de-DE"/>
        </w:rPr>
        <w:t>(</w:t>
      </w:r>
      <w:hyperlink r:id="rId24" w:tooltip="Inter omnes" w:history="1">
        <w:r>
          <w:rPr>
            <w:rStyle w:val="Hipervnculo"/>
            <w:rFonts w:ascii="Arial" w:hAnsi="Arial" w:cs="Arial"/>
            <w:i/>
            <w:iCs/>
            <w:color w:val="0B0080"/>
            <w:sz w:val="20"/>
            <w:szCs w:val="20"/>
            <w:lang w:val="la-Latn"/>
          </w:rPr>
          <w:t>inter omnes</w:t>
        </w:r>
      </w:hyperlink>
      <w:r w:rsidRPr="00AA473C">
        <w:rPr>
          <w:rFonts w:ascii="Arial" w:hAnsi="Arial" w:cs="Arial"/>
          <w:i/>
          <w:iCs/>
          <w:color w:val="000000"/>
          <w:sz w:val="20"/>
          <w:szCs w:val="20"/>
          <w:lang w:val="de-DE"/>
        </w:rPr>
        <w:t>).</w:t>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Es handelt sich dabei im Wesentlichen um Verfahren, in denen das Gericht feststellt, ob ein Gesetz mit der</w:t>
      </w:r>
      <w:r w:rsidR="00FC7879">
        <w:fldChar w:fldCharType="begin"/>
      </w:r>
      <w:r w:rsidR="00FF087B" w:rsidRPr="009D3E72">
        <w:rPr>
          <w:lang w:val="de-DE"/>
        </w:rPr>
        <w:instrText>HYPERLINK "http://de.wikipedia.org/wiki/Verfassung" \o "Verfassung"</w:instrText>
      </w:r>
      <w:r w:rsidR="00FC7879">
        <w:fldChar w:fldCharType="separate"/>
      </w:r>
      <w:r w:rsidRPr="00AA473C">
        <w:rPr>
          <w:rStyle w:val="Hipervnculo"/>
          <w:rFonts w:ascii="Arial" w:hAnsi="Arial" w:cs="Arial"/>
          <w:color w:val="0B0080"/>
          <w:sz w:val="20"/>
          <w:szCs w:val="20"/>
          <w:lang w:val="de-DE"/>
        </w:rPr>
        <w:t>Verfassung</w:t>
      </w:r>
      <w:r w:rsidR="00FC7879">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vereinbar ist oder nicht. Die Feststellung, dass ein Gesetz, das nach dem Inkrafttreten des Grundgesetzes verabschiedet wurde, verfassungswidrig ist, steht nur dem Bundesverfassungsgericht zu (</w:t>
      </w:r>
      <w:hyperlink r:id="rId25" w:history="1">
        <w:r w:rsidRPr="00AA473C">
          <w:rPr>
            <w:rStyle w:val="Hipervnculo"/>
            <w:rFonts w:ascii="Arial" w:hAnsi="Arial" w:cs="Arial"/>
            <w:color w:val="663366"/>
            <w:sz w:val="20"/>
            <w:szCs w:val="20"/>
            <w:lang w:val="de-DE"/>
          </w:rPr>
          <w:t>§ 95</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3 Satz 1 bzw. Satz 2 BVerfGG;</w:t>
      </w:r>
      <w:hyperlink r:id="rId26" w:tooltip="Normverwerfungskompetenz" w:history="1">
        <w:r w:rsidRPr="00AA473C">
          <w:rPr>
            <w:rStyle w:val="Hipervnculo"/>
            <w:rFonts w:ascii="Arial" w:hAnsi="Arial" w:cs="Arial"/>
            <w:color w:val="0B0080"/>
            <w:sz w:val="20"/>
            <w:szCs w:val="20"/>
            <w:lang w:val="de-DE"/>
          </w:rPr>
          <w:t>Normverwerfungskompetenz</w:t>
        </w:r>
      </w:hyperlink>
      <w:r w:rsidRPr="00AA473C">
        <w:rPr>
          <w:rFonts w:ascii="Arial" w:hAnsi="Arial" w:cs="Arial"/>
          <w:color w:val="000000"/>
          <w:sz w:val="20"/>
          <w:szCs w:val="20"/>
          <w:lang w:val="de-DE"/>
        </w:rPr>
        <w:t>). Hält ein anderes Gericht ein Gesetz für verfassungswidrig, so hat es dies dem BVerfG gemäß</w:t>
      </w:r>
      <w:r w:rsidRPr="00AA473C">
        <w:rPr>
          <w:rStyle w:val="apple-converted-space"/>
          <w:rFonts w:ascii="Arial" w:eastAsiaTheme="majorEastAsia" w:hAnsi="Arial" w:cs="Arial"/>
          <w:color w:val="000000"/>
          <w:sz w:val="20"/>
          <w:szCs w:val="20"/>
          <w:lang w:val="de-DE"/>
        </w:rPr>
        <w:t> </w:t>
      </w:r>
      <w:hyperlink r:id="rId27" w:history="1">
        <w:r w:rsidRPr="00AA473C">
          <w:rPr>
            <w:rStyle w:val="Hipervnculo"/>
            <w:rFonts w:ascii="Arial" w:hAnsi="Arial" w:cs="Arial"/>
            <w:color w:val="663366"/>
            <w:sz w:val="20"/>
            <w:szCs w:val="20"/>
            <w:lang w:val="de-DE"/>
          </w:rPr>
          <w:t>Art. 100</w:t>
        </w:r>
      </w:hyperlink>
      <w:r w:rsidRPr="00AA473C">
        <w:rPr>
          <w:rFonts w:ascii="Arial" w:hAnsi="Arial" w:cs="Arial"/>
          <w:color w:val="000000"/>
          <w:sz w:val="20"/>
          <w:szCs w:val="20"/>
          <w:lang w:val="de-DE"/>
        </w:rPr>
        <w:t>GG vorzulegen, soweit dies entscheidungserheblich ist (</w:t>
      </w:r>
      <w:hyperlink r:id="rId28" w:anchor="Konkrete_Normenkontrolle" w:history="1">
        <w:r w:rsidRPr="00AA473C">
          <w:rPr>
            <w:rStyle w:val="Hipervnculo"/>
            <w:rFonts w:ascii="Arial" w:hAnsi="Arial" w:cs="Arial"/>
            <w:color w:val="0B0080"/>
            <w:sz w:val="20"/>
            <w:szCs w:val="20"/>
            <w:lang w:val="de-DE"/>
          </w:rPr>
          <w:t>konkrete Normenkontrolle</w:t>
        </w:r>
      </w:hyperlink>
      <w:r w:rsidRPr="00AA473C">
        <w:rPr>
          <w:rFonts w:ascii="Arial" w:hAnsi="Arial" w:cs="Arial"/>
          <w:color w:val="000000"/>
          <w:sz w:val="20"/>
          <w:szCs w:val="20"/>
          <w:lang w:val="de-DE"/>
        </w:rPr>
        <w:t>).</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Obwohl der Wortlaut des</w:t>
      </w:r>
      <w:r w:rsidRPr="00AA473C">
        <w:rPr>
          <w:rStyle w:val="apple-converted-space"/>
          <w:rFonts w:ascii="Arial" w:eastAsiaTheme="majorEastAsia" w:hAnsi="Arial" w:cs="Arial"/>
          <w:color w:val="000000"/>
          <w:sz w:val="20"/>
          <w:szCs w:val="20"/>
          <w:lang w:val="de-DE"/>
        </w:rPr>
        <w:t> </w:t>
      </w:r>
      <w:hyperlink r:id="rId29" w:history="1">
        <w:r w:rsidRPr="00AA473C">
          <w:rPr>
            <w:rStyle w:val="Hipervnculo"/>
            <w:rFonts w:ascii="Arial" w:hAnsi="Arial" w:cs="Arial"/>
            <w:color w:val="663366"/>
            <w:sz w:val="20"/>
            <w:szCs w:val="20"/>
            <w:lang w:val="de-DE"/>
          </w:rPr>
          <w:t>§ 95</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3 Satz 1 bzw. Satz 2 BVerfGG eindeutig ist (</w:t>
      </w:r>
      <w:r w:rsidRPr="00AA473C">
        <w:rPr>
          <w:rFonts w:ascii="Arial" w:hAnsi="Arial" w:cs="Arial"/>
          <w:i/>
          <w:iCs/>
          <w:color w:val="000000"/>
          <w:sz w:val="20"/>
          <w:szCs w:val="20"/>
          <w:lang w:val="de-DE"/>
        </w:rPr>
        <w:t>„… so ist das Gesetz für nichtig zu erklären“</w:t>
      </w:r>
      <w:r w:rsidRPr="00AA473C">
        <w:rPr>
          <w:rFonts w:ascii="Arial" w:hAnsi="Arial" w:cs="Arial"/>
          <w:color w:val="000000"/>
          <w:sz w:val="20"/>
          <w:szCs w:val="20"/>
          <w:lang w:val="de-DE"/>
        </w:rPr>
        <w:t>), sieht das Bundesverfassungsgericht in einigen Fällen von einer Nichtigkeitserklärung ab und trägt dem</w:t>
      </w:r>
      <w:r w:rsidRPr="00AA473C">
        <w:rPr>
          <w:rStyle w:val="apple-converted-space"/>
          <w:rFonts w:ascii="Arial" w:eastAsiaTheme="majorEastAsia" w:hAnsi="Arial" w:cs="Arial"/>
          <w:color w:val="000000"/>
          <w:sz w:val="20"/>
          <w:szCs w:val="20"/>
          <w:lang w:val="de-DE"/>
        </w:rPr>
        <w:t> </w:t>
      </w:r>
      <w:hyperlink r:id="rId30" w:tooltip="Legislative" w:history="1">
        <w:r w:rsidRPr="00AA473C">
          <w:rPr>
            <w:rStyle w:val="Hipervnculo"/>
            <w:rFonts w:ascii="Arial" w:hAnsi="Arial" w:cs="Arial"/>
            <w:color w:val="0B0080"/>
            <w:sz w:val="20"/>
            <w:szCs w:val="20"/>
            <w:lang w:val="de-DE"/>
          </w:rPr>
          <w:t>Gesetzgeber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stattdessen eine Neuregelung der Gesetzesmaterie auf; bis zur Neuregelung ist das Gesetz dann weiterhin gültig, aber nicht mehr anwendbar. Stark vereinfachend kann man sagen, dass dies immer dann aufgetragen wird, wenn ein Gesetz (nur) gleichheitswidrig ist.</w:t>
      </w:r>
    </w:p>
    <w:p w:rsidR="000D4E30" w:rsidRPr="00AA473C" w:rsidRDefault="000D4E30" w:rsidP="000D4E30">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Das Gericht ist aufgeteilt in zwei</w:t>
      </w:r>
      <w:r w:rsidRPr="00AA473C">
        <w:rPr>
          <w:rStyle w:val="apple-converted-space"/>
          <w:rFonts w:ascii="Arial" w:eastAsiaTheme="majorEastAsia" w:hAnsi="Arial" w:cs="Arial"/>
          <w:color w:val="000000"/>
          <w:sz w:val="20"/>
          <w:szCs w:val="20"/>
          <w:lang w:val="de-DE"/>
        </w:rPr>
        <w:t> </w:t>
      </w:r>
      <w:hyperlink r:id="rId31" w:tooltip="Spruchkörper" w:history="1">
        <w:r w:rsidRPr="00AA473C">
          <w:rPr>
            <w:rStyle w:val="Hipervnculo"/>
            <w:rFonts w:ascii="Arial" w:hAnsi="Arial" w:cs="Arial"/>
            <w:color w:val="0B0080"/>
            <w:sz w:val="20"/>
            <w:szCs w:val="20"/>
            <w:lang w:val="de-DE"/>
          </w:rPr>
          <w:t>Senate</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 sieben</w:t>
      </w:r>
      <w:r w:rsidRPr="00AA473C">
        <w:rPr>
          <w:rStyle w:val="apple-converted-space"/>
          <w:rFonts w:ascii="Arial" w:eastAsiaTheme="majorEastAsia" w:hAnsi="Arial" w:cs="Arial"/>
          <w:color w:val="000000"/>
          <w:sz w:val="20"/>
          <w:szCs w:val="20"/>
          <w:lang w:val="de-DE"/>
        </w:rPr>
        <w:t> </w:t>
      </w:r>
      <w:hyperlink r:id="rId32" w:tooltip="Kammer (Gericht)" w:history="1">
        <w:r w:rsidRPr="00AA473C">
          <w:rPr>
            <w:rStyle w:val="Hipervnculo"/>
            <w:rFonts w:ascii="Arial" w:hAnsi="Arial" w:cs="Arial"/>
            <w:color w:val="0B0080"/>
            <w:sz w:val="20"/>
            <w:szCs w:val="20"/>
            <w:lang w:val="de-DE"/>
          </w:rPr>
          <w:t>Kammern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mit unterschiedlichen sachlichen Zuständigkeiten. Diese Verteilung geschieht durch die</w:t>
      </w:r>
      <w:r w:rsidRPr="00AA473C">
        <w:rPr>
          <w:rStyle w:val="apple-converted-space"/>
          <w:rFonts w:ascii="Arial" w:eastAsiaTheme="majorEastAsia" w:hAnsi="Arial" w:cs="Arial"/>
          <w:color w:val="000000"/>
          <w:sz w:val="20"/>
          <w:szCs w:val="20"/>
          <w:lang w:val="de-DE"/>
        </w:rPr>
        <w:t> </w:t>
      </w:r>
      <w:hyperlink r:id="rId33" w:tooltip="Geschäftsordnung" w:history="1">
        <w:r w:rsidRPr="00AA473C">
          <w:rPr>
            <w:rStyle w:val="Hipervnculo"/>
            <w:rFonts w:ascii="Arial" w:hAnsi="Arial" w:cs="Arial"/>
            <w:color w:val="0B0080"/>
            <w:sz w:val="20"/>
            <w:szCs w:val="20"/>
            <w:lang w:val="de-DE"/>
          </w:rPr>
          <w:t>Geschäftsordnung</w:t>
        </w:r>
      </w:hyperlink>
      <w:r w:rsidRPr="00AA473C">
        <w:rPr>
          <w:rFonts w:ascii="Arial" w:hAnsi="Arial" w:cs="Arial"/>
          <w:color w:val="000000"/>
          <w:sz w:val="20"/>
          <w:szCs w:val="20"/>
          <w:lang w:val="de-DE"/>
        </w:rPr>
        <w:t>, die das Bundesverfassungsgericht selbst erlässt und ändern kann.</w:t>
      </w:r>
    </w:p>
    <w:p w:rsidR="000D4E30" w:rsidRPr="00AA473C" w:rsidRDefault="000D4E30" w:rsidP="000D4E30">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Zunehmend wird dabei der juristische Hintergrund und Schwerpunkt der</w:t>
      </w:r>
      <w:r w:rsidRPr="00AA473C">
        <w:rPr>
          <w:rStyle w:val="apple-converted-space"/>
          <w:rFonts w:ascii="Arial" w:eastAsiaTheme="majorEastAsia" w:hAnsi="Arial" w:cs="Arial"/>
          <w:color w:val="000000"/>
          <w:sz w:val="20"/>
          <w:szCs w:val="20"/>
          <w:lang w:val="de-DE"/>
        </w:rPr>
        <w:t> </w:t>
      </w:r>
      <w:hyperlink r:id="rId34" w:tooltip="Richter" w:history="1">
        <w:r w:rsidRPr="00AA473C">
          <w:rPr>
            <w:rStyle w:val="Hipervnculo"/>
            <w:rFonts w:ascii="Arial" w:hAnsi="Arial" w:cs="Arial"/>
            <w:color w:val="0B0080"/>
            <w:sz w:val="20"/>
            <w:szCs w:val="20"/>
            <w:lang w:val="de-DE"/>
          </w:rPr>
          <w:t>Richter</w:t>
        </w:r>
      </w:hyperlink>
      <w:r w:rsidRPr="00AA473C">
        <w:rPr>
          <w:rFonts w:ascii="Arial" w:hAnsi="Arial" w:cs="Arial"/>
          <w:color w:val="000000"/>
          <w:sz w:val="20"/>
          <w:szCs w:val="20"/>
          <w:lang w:val="de-DE"/>
        </w:rPr>
        <w:t>berücksichtigt. Vereinfachend lässt sich der Erste Senat als „</w:t>
      </w:r>
      <w:r w:rsidR="00FC7879">
        <w:fldChar w:fldCharType="begin"/>
      </w:r>
      <w:r w:rsidRPr="009D3E72">
        <w:rPr>
          <w:lang w:val="de-DE"/>
        </w:rPr>
        <w:instrText>HYPERLINK "http://de.wikipedia.org/wiki/Grundrechte_(Deutschland)" \o "Grundrechte (Deutschland)"</w:instrText>
      </w:r>
      <w:r w:rsidR="00FC7879">
        <w:fldChar w:fldCharType="separate"/>
      </w:r>
      <w:r w:rsidRPr="00AA473C">
        <w:rPr>
          <w:rStyle w:val="Hipervnculo"/>
          <w:rFonts w:ascii="Arial" w:hAnsi="Arial" w:cs="Arial"/>
          <w:color w:val="0B0080"/>
          <w:sz w:val="20"/>
          <w:szCs w:val="20"/>
          <w:lang w:val="de-DE"/>
        </w:rPr>
        <w:t>Grundrechts</w:t>
      </w:r>
      <w:r w:rsidR="00FC7879">
        <w:fldChar w:fldCharType="end"/>
      </w:r>
      <w:r w:rsidRPr="00AA473C">
        <w:rPr>
          <w:rFonts w:ascii="Arial" w:hAnsi="Arial" w:cs="Arial"/>
          <w:color w:val="000000"/>
          <w:sz w:val="20"/>
          <w:szCs w:val="20"/>
          <w:lang w:val="de-DE"/>
        </w:rPr>
        <w:t>senat“ und der Zweite Senat als „</w:t>
      </w:r>
      <w:r w:rsidR="00FC7879">
        <w:fldChar w:fldCharType="begin"/>
      </w:r>
      <w:r w:rsidRPr="009D3E72">
        <w:rPr>
          <w:lang w:val="de-DE"/>
        </w:rPr>
        <w:instrText>HYPERLINK "http://de.wikipedia.org/wiki/Staatsrecht_(Deutschland)" \o "Staatsrecht (Deutschland)"</w:instrText>
      </w:r>
      <w:r w:rsidR="00FC7879">
        <w:fldChar w:fldCharType="separate"/>
      </w:r>
      <w:r w:rsidRPr="00AA473C">
        <w:rPr>
          <w:rStyle w:val="Hipervnculo"/>
          <w:rFonts w:ascii="Arial" w:hAnsi="Arial" w:cs="Arial"/>
          <w:color w:val="0B0080"/>
          <w:sz w:val="20"/>
          <w:szCs w:val="20"/>
          <w:lang w:val="de-DE"/>
        </w:rPr>
        <w:t>Staatsrechts</w:t>
      </w:r>
      <w:r w:rsidR="00FC7879">
        <w:fldChar w:fldCharType="end"/>
      </w:r>
      <w:r w:rsidRPr="00AA473C">
        <w:rPr>
          <w:rFonts w:ascii="Arial" w:hAnsi="Arial" w:cs="Arial"/>
          <w:color w:val="000000"/>
          <w:sz w:val="20"/>
          <w:szCs w:val="20"/>
          <w:lang w:val="de-DE"/>
        </w:rPr>
        <w:t xml:space="preserve">senat“ klassifizieren: So ist der 1. Senat vor allem für Fragen der Auslegung der Art. 1 bis </w:t>
      </w:r>
      <w:r w:rsidRPr="00AA473C">
        <w:rPr>
          <w:rFonts w:ascii="Arial" w:hAnsi="Arial" w:cs="Arial"/>
          <w:color w:val="000000"/>
          <w:sz w:val="20"/>
          <w:szCs w:val="20"/>
          <w:lang w:val="de-DE"/>
        </w:rPr>
        <w:lastRenderedPageBreak/>
        <w:t>17, 19, 20 Abs. 4, 33, 38, 101, 103 und 104 GG zuständig, während</w:t>
      </w:r>
      <w:r w:rsidRPr="00AA473C">
        <w:rPr>
          <w:rStyle w:val="apple-converted-space"/>
          <w:rFonts w:ascii="Arial" w:eastAsiaTheme="majorEastAsia" w:hAnsi="Arial" w:cs="Arial"/>
          <w:color w:val="000000"/>
          <w:sz w:val="20"/>
          <w:szCs w:val="20"/>
          <w:lang w:val="de-DE"/>
        </w:rPr>
        <w:t> </w:t>
      </w:r>
      <w:hyperlink r:id="rId35" w:tooltip="Organstreit" w:history="1">
        <w:r w:rsidRPr="00AA473C">
          <w:rPr>
            <w:rStyle w:val="Hipervnculo"/>
            <w:rFonts w:ascii="Arial" w:hAnsi="Arial" w:cs="Arial"/>
            <w:color w:val="0B0080"/>
            <w:sz w:val="20"/>
            <w:szCs w:val="20"/>
            <w:lang w:val="de-DE"/>
          </w:rPr>
          <w:t>Organstreitigkeiten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zwischen Verfassungsorganen oder</w:t>
      </w:r>
      <w:r w:rsidRPr="00AA473C">
        <w:rPr>
          <w:rStyle w:val="apple-converted-space"/>
          <w:rFonts w:ascii="Arial" w:eastAsiaTheme="majorEastAsia" w:hAnsi="Arial" w:cs="Arial"/>
          <w:color w:val="000000"/>
          <w:sz w:val="20"/>
          <w:szCs w:val="20"/>
          <w:lang w:val="de-DE"/>
        </w:rPr>
        <w:t> </w:t>
      </w:r>
      <w:hyperlink r:id="rId36" w:tooltip="Parteiverbot" w:history="1">
        <w:r w:rsidRPr="00AA473C">
          <w:rPr>
            <w:rStyle w:val="Hipervnculo"/>
            <w:rFonts w:ascii="Arial" w:hAnsi="Arial" w:cs="Arial"/>
            <w:color w:val="0B0080"/>
            <w:sz w:val="20"/>
            <w:szCs w:val="20"/>
            <w:lang w:val="de-DE"/>
          </w:rPr>
          <w:t>Parteiverbotsverfahren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eher vor den 2. Senat gelangten.</w:t>
      </w:r>
    </w:p>
    <w:p w:rsidR="000D4E30" w:rsidRPr="00AA473C" w:rsidRDefault="000D4E30"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Jeder Senat war ursprünglich mit zwölf Richtern besetzt. Mit Wirkung zum Jahre 1963 wurde die Zahl der Richter auf acht gesenkt. Dies schließt den Präsidenten und den Vizepräsidenten des Bundesverfassungsgerichts ein, die jeweils einem der Senate vorsitzen. Die Richter der Senate werden bei ihrer Tätigkeit von Geschäftsstellen,</w:t>
      </w:r>
      <w:r w:rsidRPr="00AA473C">
        <w:rPr>
          <w:rStyle w:val="apple-converted-space"/>
          <w:rFonts w:ascii="Arial" w:eastAsiaTheme="majorEastAsia" w:hAnsi="Arial" w:cs="Arial"/>
          <w:color w:val="000000"/>
          <w:sz w:val="20"/>
          <w:szCs w:val="20"/>
          <w:lang w:val="de-DE"/>
        </w:rPr>
        <w:t> </w:t>
      </w:r>
      <w:hyperlink r:id="rId37" w:tooltip="Wissenschaftlicher Mitarbeiter (Bundesdienst)" w:history="1">
        <w:r w:rsidRPr="00AA473C">
          <w:rPr>
            <w:rStyle w:val="Hipervnculo"/>
            <w:rFonts w:ascii="Arial" w:hAnsi="Arial" w:cs="Arial"/>
            <w:color w:val="0B0080"/>
            <w:sz w:val="20"/>
            <w:szCs w:val="20"/>
            <w:lang w:val="de-DE"/>
          </w:rPr>
          <w:t>wissenschaftlichen Mitarbeitern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w:t>
      </w:r>
      <w:r w:rsidRPr="00AA473C">
        <w:rPr>
          <w:rStyle w:val="apple-converted-space"/>
          <w:rFonts w:ascii="Arial" w:eastAsiaTheme="majorEastAsia" w:hAnsi="Arial" w:cs="Arial"/>
          <w:color w:val="000000"/>
          <w:sz w:val="20"/>
          <w:szCs w:val="20"/>
          <w:lang w:val="de-DE"/>
        </w:rPr>
        <w:t> </w:t>
      </w:r>
      <w:hyperlink r:id="rId38" w:tooltip="Präsidialrat (Bundesverfassungsgericht)" w:history="1">
        <w:r w:rsidRPr="00AA473C">
          <w:rPr>
            <w:rStyle w:val="Hipervnculo"/>
            <w:rFonts w:ascii="Arial" w:hAnsi="Arial" w:cs="Arial"/>
            <w:color w:val="0B0080"/>
            <w:sz w:val="20"/>
            <w:szCs w:val="20"/>
            <w:lang w:val="de-DE"/>
          </w:rPr>
          <w:t>Präsidialräten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unterstützt.</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Ein Senat ist beschlussfähig, wenn mindestens sechs Richter anwesend sind. Eine Nachbesetzung bzw. ein Ersetzen von ausscheidenden Richtern während eines laufenden Verfahrens findet nicht statt. Sind so viele Richter während eines Verfahrens ausgeschieden, dass das Gericht nicht mehr beschlussfähig ist, muss die Verhandlung nach der Nachwahl neu aufgenommen werden.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Wegen der geraden Anzahl der Richter in einem Senat sind Pattsituationen möglich (so genannte Vier-zu-vier-Entscheidung). In den meisten Verfahren obsiegt ein Antragsteller oder Beschwerdeführer, wenn mindestens fünf Richter seine Rechtsauffassung teilen. In einigen besonderen Verfahren, d. h. solchen, die besonders eingriffsintensiv sind, bedarf es indes einer</w:t>
      </w:r>
      <w:r w:rsidRPr="00AA473C">
        <w:rPr>
          <w:rStyle w:val="apple-converted-space"/>
          <w:rFonts w:ascii="Arial" w:eastAsiaTheme="majorEastAsia" w:hAnsi="Arial" w:cs="Arial"/>
          <w:color w:val="000000"/>
          <w:sz w:val="20"/>
          <w:szCs w:val="20"/>
          <w:lang w:val="de-DE"/>
        </w:rPr>
        <w:t> </w:t>
      </w:r>
      <w:hyperlink r:id="rId39" w:tooltip="Qualifizierte Zweidrittelmehrheit" w:history="1">
        <w:r w:rsidRPr="00AA473C">
          <w:rPr>
            <w:rStyle w:val="Hipervnculo"/>
            <w:rFonts w:ascii="Arial" w:hAnsi="Arial" w:cs="Arial"/>
            <w:color w:val="0B0080"/>
            <w:sz w:val="20"/>
            <w:szCs w:val="20"/>
            <w:lang w:val="de-DE"/>
          </w:rPr>
          <w:t>qualifizierten Zweidrittelmehrheit</w:t>
        </w:r>
      </w:hyperlink>
      <w:r w:rsidRPr="00AA473C">
        <w:rPr>
          <w:rFonts w:ascii="Arial" w:hAnsi="Arial" w:cs="Arial"/>
          <w:color w:val="000000"/>
          <w:sz w:val="20"/>
          <w:szCs w:val="20"/>
          <w:lang w:val="de-DE"/>
        </w:rPr>
        <w:t>; also der Mehrheit von zwei Dritteln der Mitglieder des Senats (das heißt sechs von acht Richtern).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Senate berufen innerhalb ihrer Geschäftsbereiche selbständig mehrere Kammern, die mit jeweils drei Richtern besetzt sind. Diese Kammern entscheiden bei Verfassungsbeschwerden, konkreten Normenkontrollen und Verfahren nach dem</w:t>
      </w:r>
      <w:r w:rsidRPr="00AA473C">
        <w:rPr>
          <w:rStyle w:val="apple-converted-space"/>
          <w:rFonts w:ascii="Arial" w:eastAsiaTheme="majorEastAsia" w:hAnsi="Arial" w:cs="Arial"/>
          <w:color w:val="000000"/>
          <w:sz w:val="20"/>
          <w:szCs w:val="20"/>
          <w:lang w:val="de-DE"/>
        </w:rPr>
        <w:t> </w:t>
      </w:r>
      <w:hyperlink r:id="rId40" w:tooltip="Untersuchungsausschussgesetz" w:history="1">
        <w:r w:rsidRPr="00AA473C">
          <w:rPr>
            <w:rStyle w:val="Hipervnculo"/>
            <w:rFonts w:ascii="Arial" w:hAnsi="Arial" w:cs="Arial"/>
            <w:color w:val="0B0080"/>
            <w:sz w:val="20"/>
            <w:szCs w:val="20"/>
            <w:lang w:val="de-DE"/>
          </w:rPr>
          <w:t>PUAG</w:t>
        </w:r>
      </w:hyperlink>
      <w:r w:rsidRPr="00AA473C">
        <w:rPr>
          <w:rFonts w:ascii="Arial" w:hAnsi="Arial" w:cs="Arial"/>
          <w:color w:val="000000"/>
          <w:sz w:val="20"/>
          <w:szCs w:val="20"/>
          <w:lang w:val="de-DE"/>
        </w:rPr>
        <w:t>anstelle des Senats und entlasten ihn, soweit die zugrunde liegende Rechtsfrage vom Senat bereits entschieden ist. Zurzeit bestehen bei jedem Senat jeweils drei Kammern. Daher sind manche Richter in mehreren Kammern Mitglied. Neben diesen sechs Kammern wurde im Jahr 2011 eine Beschwerdekammer gemäß</w:t>
      </w:r>
      <w:r w:rsidRPr="00AA473C">
        <w:rPr>
          <w:rStyle w:val="apple-converted-space"/>
          <w:rFonts w:ascii="Arial" w:eastAsiaTheme="majorEastAsia" w:hAnsi="Arial" w:cs="Arial"/>
          <w:color w:val="000000"/>
          <w:sz w:val="20"/>
          <w:szCs w:val="20"/>
          <w:lang w:val="de-DE"/>
        </w:rPr>
        <w:t> </w:t>
      </w:r>
      <w:hyperlink r:id="rId41" w:history="1">
        <w:r w:rsidRPr="00AA473C">
          <w:rPr>
            <w:rStyle w:val="Hipervnculo"/>
            <w:rFonts w:ascii="Arial" w:hAnsi="Arial" w:cs="Arial"/>
            <w:color w:val="663366"/>
            <w:sz w:val="20"/>
            <w:szCs w:val="20"/>
            <w:lang w:val="de-DE"/>
          </w:rPr>
          <w:t>§ 97c Abs. 1 BVerfGG</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eingerichtet, die mit je zwei Richtern aus beiden Senaten besetzt ist.</w:t>
      </w:r>
      <w:hyperlink r:id="rId42" w:anchor="cite_note-BeschwK_2011-12" w:history="1">
        <w:r w:rsidRPr="00AA473C">
          <w:rPr>
            <w:rStyle w:val="Hipervnculo"/>
            <w:rFonts w:ascii="Arial" w:hAnsi="Arial" w:cs="Arial"/>
            <w:color w:val="0B0080"/>
            <w:sz w:val="20"/>
            <w:szCs w:val="20"/>
            <w:vertAlign w:val="superscript"/>
            <w:lang w:val="de-DE"/>
          </w:rPr>
          <w:t>[12]</w:t>
        </w:r>
      </w:hyperlink>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Entscheidet der Senat nicht einstimmig, haben die unterlegenen Richter die Möglichkeit, einzeln oder gemeinsam der Entscheidung des Gerichtes ein</w:t>
      </w:r>
      <w:r w:rsidRPr="00AA473C">
        <w:rPr>
          <w:rStyle w:val="apple-converted-space"/>
          <w:rFonts w:ascii="Arial" w:eastAsiaTheme="majorEastAsia" w:hAnsi="Arial" w:cs="Arial"/>
          <w:color w:val="000000"/>
          <w:sz w:val="20"/>
          <w:szCs w:val="20"/>
          <w:lang w:val="de-DE"/>
        </w:rPr>
        <w:t> </w:t>
      </w:r>
      <w:hyperlink r:id="rId43" w:tooltip="Sondervotum" w:history="1">
        <w:r w:rsidRPr="00AA473C">
          <w:rPr>
            <w:rStyle w:val="Hipervnculo"/>
            <w:rFonts w:ascii="Arial" w:hAnsi="Arial" w:cs="Arial"/>
            <w:color w:val="0B0080"/>
            <w:sz w:val="20"/>
            <w:szCs w:val="20"/>
            <w:lang w:val="de-DE"/>
          </w:rPr>
          <w:t>Sondervotum</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beizufügen. Dieses wird dann gemeinsam mit der Entscheidung des Gerichts unter der Überschrift „Abweichende Meinung des Richters …“ veröffentlicht. Zur Vereinheitlichung seiner</w:t>
      </w:r>
      <w:r w:rsidR="00FC7879">
        <w:fldChar w:fldCharType="begin"/>
      </w:r>
      <w:r w:rsidR="00FF087B" w:rsidRPr="009D3E72">
        <w:rPr>
          <w:lang w:val="de-DE"/>
        </w:rPr>
        <w:instrText>HYPERLINK "http://de.wikipedia.org/wiki/Rechtsprechung" \o "Rechtsprechung"</w:instrText>
      </w:r>
      <w:r w:rsidR="00FC7879">
        <w:fldChar w:fldCharType="separate"/>
      </w:r>
      <w:r w:rsidRPr="00AA473C">
        <w:rPr>
          <w:rStyle w:val="Hipervnculo"/>
          <w:rFonts w:ascii="Arial" w:hAnsi="Arial" w:cs="Arial"/>
          <w:color w:val="0B0080"/>
          <w:sz w:val="20"/>
          <w:szCs w:val="20"/>
          <w:lang w:val="de-DE"/>
        </w:rPr>
        <w:t>Rechtsprechung</w:t>
      </w:r>
      <w:r w:rsidR="00FC7879">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tritt das Gericht als</w:t>
      </w:r>
      <w:r w:rsidRPr="00AA473C">
        <w:rPr>
          <w:rStyle w:val="apple-converted-space"/>
          <w:rFonts w:ascii="Arial" w:eastAsiaTheme="majorEastAsia" w:hAnsi="Arial" w:cs="Arial"/>
          <w:color w:val="000000"/>
          <w:sz w:val="20"/>
          <w:szCs w:val="20"/>
          <w:lang w:val="de-DE"/>
        </w:rPr>
        <w:t> </w:t>
      </w:r>
      <w:hyperlink r:id="rId44" w:tooltip="Plenum" w:history="1">
        <w:r w:rsidRPr="00AA473C">
          <w:rPr>
            <w:rStyle w:val="Hipervnculo"/>
            <w:rFonts w:ascii="Arial" w:hAnsi="Arial" w:cs="Arial"/>
            <w:color w:val="0B0080"/>
            <w:sz w:val="20"/>
            <w:szCs w:val="20"/>
            <w:lang w:val="de-DE"/>
          </w:rPr>
          <w:t>Plenum</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zusammen, wenn ein Senat von der Rechtsprechung des anderen Senates abweichen will. Hierzu bedarf es eines Vorlagebeschlusses des abweichenden Senats. Das Plenum besteht aus allen Richtern, den Vorsitz führt der Präsident. Bisher wurde das Plenum nur fünfmal angerufen.</w:t>
      </w:r>
      <w:hyperlink r:id="rId45" w:anchor="cite_note-13" w:history="1">
        <w:r w:rsidRPr="00AA473C">
          <w:rPr>
            <w:rStyle w:val="Hipervnculo"/>
            <w:rFonts w:ascii="Arial" w:hAnsi="Arial" w:cs="Arial"/>
            <w:color w:val="0B0080"/>
            <w:sz w:val="20"/>
            <w:szCs w:val="20"/>
            <w:vertAlign w:val="superscript"/>
            <w:lang w:val="de-DE"/>
          </w:rPr>
          <w:t>[13]</w:t>
        </w:r>
      </w:hyperlink>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w:t>
      </w:r>
      <w:r w:rsidRPr="00AA473C">
        <w:rPr>
          <w:rStyle w:val="apple-converted-space"/>
          <w:rFonts w:ascii="Arial" w:eastAsiaTheme="majorEastAsia" w:hAnsi="Arial" w:cs="Arial"/>
          <w:color w:val="000000"/>
          <w:sz w:val="20"/>
          <w:szCs w:val="20"/>
          <w:lang w:val="de-DE"/>
        </w:rPr>
        <w:t> </w:t>
      </w:r>
      <w:hyperlink r:id="rId46" w:tooltip="Liste der Richter am deutschen Bundesverfassungsgericht" w:history="1">
        <w:r w:rsidRPr="00AA473C">
          <w:rPr>
            <w:rStyle w:val="Hipervnculo"/>
            <w:rFonts w:ascii="Arial" w:hAnsi="Arial" w:cs="Arial"/>
            <w:color w:val="0B0080"/>
            <w:sz w:val="20"/>
            <w:szCs w:val="20"/>
            <w:lang w:val="de-DE"/>
          </w:rPr>
          <w:t>Richterinnen und Richter des Bundesverfassungsgerichts</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gelten als namhafte Persönlichkeiten, auch weil dies als gesellschaftliche und moralische Bedingung vorausgesetzt wird; sie zeichnen sich durch besondere Kenntnisse und Erfahrungen im</w:t>
      </w:r>
      <w:r w:rsidRPr="00AA473C">
        <w:rPr>
          <w:rStyle w:val="apple-converted-space"/>
          <w:rFonts w:ascii="Arial" w:eastAsiaTheme="majorEastAsia" w:hAnsi="Arial" w:cs="Arial"/>
          <w:color w:val="000000"/>
          <w:sz w:val="20"/>
          <w:szCs w:val="20"/>
          <w:lang w:val="de-DE"/>
        </w:rPr>
        <w:t> </w:t>
      </w:r>
      <w:hyperlink r:id="rId47" w:tooltip="Öffentliches Recht" w:history="1">
        <w:r w:rsidRPr="00AA473C">
          <w:rPr>
            <w:rStyle w:val="Hipervnculo"/>
            <w:rFonts w:ascii="Arial" w:hAnsi="Arial" w:cs="Arial"/>
            <w:color w:val="0B0080"/>
            <w:sz w:val="20"/>
            <w:szCs w:val="20"/>
            <w:lang w:val="de-DE"/>
          </w:rPr>
          <w:t>öffentlichen Recht</w:t>
        </w:r>
      </w:hyperlink>
      <w:r w:rsidRPr="00AA473C">
        <w:rPr>
          <w:rFonts w:ascii="Arial" w:hAnsi="Arial" w:cs="Arial"/>
          <w:color w:val="000000"/>
          <w:sz w:val="20"/>
          <w:szCs w:val="20"/>
          <w:lang w:val="de-DE"/>
        </w:rPr>
        <w:t>aus.</w:t>
      </w:r>
      <w:hyperlink r:id="rId48" w:anchor="cite_note-14" w:history="1">
        <w:r w:rsidRPr="00AA473C">
          <w:rPr>
            <w:rStyle w:val="Hipervnculo"/>
            <w:rFonts w:ascii="Arial" w:hAnsi="Arial" w:cs="Arial"/>
            <w:color w:val="0B0080"/>
            <w:sz w:val="20"/>
            <w:szCs w:val="20"/>
            <w:vertAlign w:val="superscript"/>
            <w:lang w:val="de-DE"/>
          </w:rPr>
          <w:t>[14]</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Die Amtsbezeichnung der Richter, die nicht Präsident oder Vizepräsident sind, lautet „Richter des Bundesverfassungsgerichts“ (kurz: BVR) bzw. „Richterin des Bundesverfassungsgerichts“ (BVR’in), während (auf Lebenszeit ernannte) Richter bei den Instanzgerichten die Bezeichnung „Richter(in)</w:t>
      </w:r>
      <w:r w:rsidRPr="00AA473C">
        <w:rPr>
          <w:rStyle w:val="apple-converted-space"/>
          <w:rFonts w:ascii="Arial" w:eastAsiaTheme="majorEastAsia" w:hAnsi="Arial" w:cs="Arial"/>
          <w:color w:val="000000"/>
          <w:sz w:val="20"/>
          <w:szCs w:val="20"/>
          <w:lang w:val="de-DE"/>
        </w:rPr>
        <w:t> </w:t>
      </w:r>
      <w:r w:rsidRPr="00AA473C">
        <w:rPr>
          <w:rFonts w:ascii="Arial" w:hAnsi="Arial" w:cs="Arial"/>
          <w:i/>
          <w:iCs/>
          <w:color w:val="000000"/>
          <w:sz w:val="20"/>
          <w:szCs w:val="20"/>
          <w:lang w:val="de-DE"/>
        </w:rPr>
        <w:t>am</w:t>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 (z. B. Amtsgericht, Arbeitsgericht, Landgericht, Finanzgericht, Landessozialgericht, Verwaltungsgerichtshof, Bundesgerichtshof, Bundespatentgericht)“ tragen.</w:t>
      </w:r>
    </w:p>
    <w:p w:rsidR="009819A5" w:rsidRPr="009819A5"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Gewählt werden die Richter zur Hälfte von einem speziellen Wahlausschuss des</w:t>
      </w:r>
      <w:r w:rsidRPr="00AA473C">
        <w:rPr>
          <w:rStyle w:val="apple-converted-space"/>
          <w:rFonts w:ascii="Arial" w:eastAsiaTheme="majorEastAsia" w:hAnsi="Arial" w:cs="Arial"/>
          <w:color w:val="000000"/>
          <w:sz w:val="20"/>
          <w:szCs w:val="20"/>
          <w:lang w:val="de-DE"/>
        </w:rPr>
        <w:t> </w:t>
      </w:r>
      <w:hyperlink r:id="rId49" w:tooltip="Deutscher Bundestag" w:history="1">
        <w:r w:rsidRPr="00AA473C">
          <w:rPr>
            <w:rStyle w:val="Hipervnculo"/>
            <w:rFonts w:ascii="Arial" w:hAnsi="Arial" w:cs="Arial"/>
            <w:color w:val="0B0080"/>
            <w:sz w:val="20"/>
            <w:szCs w:val="20"/>
            <w:lang w:val="de-DE"/>
          </w:rPr>
          <w:t>Deutschen Bundestags</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 zur anderen Hälfte vom</w:t>
      </w:r>
      <w:r w:rsidR="00FC7879">
        <w:fldChar w:fldCharType="begin"/>
      </w:r>
      <w:r w:rsidR="00FF087B" w:rsidRPr="009D3E72">
        <w:rPr>
          <w:lang w:val="de-DE"/>
        </w:rPr>
        <w:instrText>HYPERLINK "http://de.wikipedia.org/wiki/Bundesrat_(Deutschland)" \o "Bundesrat (Deutschland)"</w:instrText>
      </w:r>
      <w:r w:rsidR="00FC7879">
        <w:fldChar w:fldCharType="separate"/>
      </w:r>
      <w:r w:rsidRPr="00AA473C">
        <w:rPr>
          <w:rStyle w:val="Hipervnculo"/>
          <w:rFonts w:ascii="Arial" w:hAnsi="Arial" w:cs="Arial"/>
          <w:color w:val="0B0080"/>
          <w:sz w:val="20"/>
          <w:szCs w:val="20"/>
          <w:lang w:val="de-DE"/>
        </w:rPr>
        <w:t>Bundesrat</w:t>
      </w:r>
      <w:r w:rsidR="00FC7879">
        <w:fldChar w:fldCharType="end"/>
      </w:r>
      <w:r w:rsidRPr="00AA473C">
        <w:rPr>
          <w:rFonts w:ascii="Arial" w:hAnsi="Arial" w:cs="Arial"/>
          <w:color w:val="000000"/>
          <w:sz w:val="20"/>
          <w:szCs w:val="20"/>
          <w:lang w:val="de-DE"/>
        </w:rPr>
        <w:t>. Sie haben eine Amtszeit von zwölf Jahren und können nicht wiedergewählt werden. Diese 1970 in Kraft getretene Regelung</w:t>
      </w:r>
      <w:r w:rsidR="00FC7879">
        <w:fldChar w:fldCharType="begin"/>
      </w:r>
      <w:r w:rsidR="00FF087B" w:rsidRPr="009D3E72">
        <w:rPr>
          <w:lang w:val="de-DE"/>
        </w:rPr>
        <w:instrText>HYPERLINK "http://de.wikipedia.org/wiki/Bundesverfassungsgericht" \l "cite_note-15"</w:instrText>
      </w:r>
      <w:r w:rsidR="00FC7879">
        <w:fldChar w:fldCharType="separate"/>
      </w:r>
      <w:r w:rsidRPr="00AA473C">
        <w:rPr>
          <w:rStyle w:val="Hipervnculo"/>
          <w:rFonts w:ascii="Arial" w:hAnsi="Arial" w:cs="Arial"/>
          <w:color w:val="0B0080"/>
          <w:sz w:val="20"/>
          <w:szCs w:val="20"/>
          <w:vertAlign w:val="superscript"/>
          <w:lang w:val="de-DE"/>
        </w:rPr>
        <w:t>[15]</w:t>
      </w:r>
      <w:r w:rsidR="00FC7879">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soll ihre persönliche Unabhängigkeit stärken. Während im Bundesrat eine direkte Wahl mit</w:t>
      </w:r>
      <w:r w:rsidRPr="00AA473C">
        <w:rPr>
          <w:rStyle w:val="apple-converted-space"/>
          <w:rFonts w:ascii="Arial" w:eastAsiaTheme="majorEastAsia" w:hAnsi="Arial" w:cs="Arial"/>
          <w:color w:val="000000"/>
          <w:sz w:val="20"/>
          <w:szCs w:val="20"/>
          <w:lang w:val="de-DE"/>
        </w:rPr>
        <w:t> </w:t>
      </w:r>
      <w:hyperlink r:id="rId50" w:tooltip="Zweidrittelmehrheit" w:history="1">
        <w:r w:rsidRPr="00AA473C">
          <w:rPr>
            <w:rStyle w:val="Hipervnculo"/>
            <w:rFonts w:ascii="Arial" w:hAnsi="Arial" w:cs="Arial"/>
            <w:color w:val="0B0080"/>
            <w:sz w:val="20"/>
            <w:szCs w:val="20"/>
            <w:lang w:val="de-DE"/>
          </w:rPr>
          <w:t>Zweidrittelmehrheit</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stattfindet, wählt im Bundestag ein Wahlausschuss aus zwölf Abgeordneten, die unter Zugrundelegung des</w:t>
      </w:r>
      <w:r w:rsidRPr="00AA473C">
        <w:rPr>
          <w:rStyle w:val="apple-converted-space"/>
          <w:rFonts w:ascii="Arial" w:eastAsiaTheme="majorEastAsia" w:hAnsi="Arial" w:cs="Arial"/>
          <w:color w:val="000000"/>
          <w:sz w:val="20"/>
          <w:szCs w:val="20"/>
          <w:lang w:val="de-DE"/>
        </w:rPr>
        <w:t> </w:t>
      </w:r>
      <w:hyperlink r:id="rId51" w:tooltip="D’Hondt-Verfahren" w:history="1">
        <w:r w:rsidRPr="00AA473C">
          <w:rPr>
            <w:rStyle w:val="Hipervnculo"/>
            <w:rFonts w:ascii="Arial" w:hAnsi="Arial" w:cs="Arial"/>
            <w:color w:val="0B0080"/>
            <w:sz w:val="20"/>
            <w:szCs w:val="20"/>
            <w:lang w:val="de-DE"/>
          </w:rPr>
          <w:t>d’Hondt’schen Höchstzahlverfahrens</w:t>
        </w:r>
      </w:hyperlink>
      <w:r w:rsidRPr="00AA473C">
        <w:rPr>
          <w:rFonts w:ascii="Arial" w:hAnsi="Arial" w:cs="Arial"/>
          <w:color w:val="000000"/>
          <w:sz w:val="20"/>
          <w:szCs w:val="20"/>
          <w:lang w:val="de-DE"/>
        </w:rPr>
        <w:t xml:space="preserve">gewählt werden. Ein Kandidat ist gewählt, wenn er mindestens acht Stimmen (Zweidrittelmehrheit) der gesetzlichen Mitglieder dieses Ausschusses auf sich vereinigt. </w:t>
      </w:r>
      <w:r w:rsidRPr="00AA473C">
        <w:rPr>
          <w:rFonts w:ascii="Arial" w:hAnsi="Arial" w:cs="Arial"/>
          <w:color w:val="000000"/>
          <w:sz w:val="20"/>
          <w:szCs w:val="20"/>
          <w:lang w:val="de-DE"/>
        </w:rPr>
        <w:lastRenderedPageBreak/>
        <w:t>Dabei werden drei Richter jedes Senats aus den Richtern an den obersten Gerichtshöfen des Bundes ausgewählt. Es ist umstritten, ob nicht das Plenum des Bundestages für die Wahl zuständig sein sollte.</w:t>
      </w:r>
      <w:hyperlink r:id="rId52" w:anchor="cite_note-16" w:history="1">
        <w:r w:rsidRPr="009819A5">
          <w:rPr>
            <w:rStyle w:val="Hipervnculo"/>
            <w:rFonts w:ascii="Arial" w:hAnsi="Arial" w:cs="Arial"/>
            <w:color w:val="0B0080"/>
            <w:sz w:val="20"/>
            <w:szCs w:val="20"/>
            <w:vertAlign w:val="superscript"/>
            <w:lang w:val="de-DE"/>
          </w:rPr>
          <w:t>[16]</w:t>
        </w:r>
      </w:hyperlink>
      <w:hyperlink r:id="rId53" w:anchor="cite_note-17" w:history="1">
        <w:r w:rsidRPr="009819A5">
          <w:rPr>
            <w:rStyle w:val="Hipervnculo"/>
            <w:rFonts w:ascii="Arial" w:hAnsi="Arial" w:cs="Arial"/>
            <w:color w:val="0B0080"/>
            <w:sz w:val="20"/>
            <w:szCs w:val="20"/>
            <w:vertAlign w:val="superscript"/>
            <w:lang w:val="de-DE"/>
          </w:rPr>
          <w:t>[17]</w:t>
        </w:r>
      </w:hyperlink>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Wählbar ist jeder, der mindestens 40 Jahre alt ist und nach dem Deutschen Richtergesetz die</w:t>
      </w:r>
      <w:r w:rsidRPr="00AA473C">
        <w:rPr>
          <w:rStyle w:val="apple-converted-space"/>
          <w:rFonts w:ascii="Arial" w:eastAsiaTheme="majorEastAsia" w:hAnsi="Arial" w:cs="Arial"/>
          <w:color w:val="000000"/>
          <w:sz w:val="20"/>
          <w:szCs w:val="20"/>
          <w:lang w:val="de-DE"/>
        </w:rPr>
        <w:t> </w:t>
      </w:r>
      <w:hyperlink r:id="rId54" w:tooltip="Befähigung zum Richteramt" w:history="1">
        <w:r w:rsidRPr="00AA473C">
          <w:rPr>
            <w:rStyle w:val="Hipervnculo"/>
            <w:rFonts w:ascii="Arial" w:hAnsi="Arial" w:cs="Arial"/>
            <w:color w:val="0B0080"/>
            <w:sz w:val="20"/>
            <w:szCs w:val="20"/>
            <w:lang w:val="de-DE"/>
          </w:rPr>
          <w:t>Befähigung zum Richteramt</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besitzt (2. Juristisches Staatsexamen oder</w:t>
      </w:r>
      <w:r w:rsidRPr="00AA473C">
        <w:rPr>
          <w:rStyle w:val="apple-converted-space"/>
          <w:rFonts w:ascii="Arial" w:eastAsiaTheme="majorEastAsia" w:hAnsi="Arial" w:cs="Arial"/>
          <w:color w:val="000000"/>
          <w:sz w:val="20"/>
          <w:szCs w:val="20"/>
          <w:lang w:val="de-DE"/>
        </w:rPr>
        <w:t> </w:t>
      </w:r>
      <w:hyperlink r:id="rId55" w:tooltip="Professor" w:history="1">
        <w:r w:rsidRPr="00AA473C">
          <w:rPr>
            <w:rStyle w:val="Hipervnculo"/>
            <w:rFonts w:ascii="Arial" w:hAnsi="Arial" w:cs="Arial"/>
            <w:color w:val="0B0080"/>
            <w:sz w:val="20"/>
            <w:szCs w:val="20"/>
            <w:lang w:val="de-DE"/>
          </w:rPr>
          <w:t>Professor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der Rechte an einer deutschen Universität – dem gleichgestellt ist der Abschluss eines</w:t>
      </w:r>
      <w:r w:rsidR="00FC7879">
        <w:fldChar w:fldCharType="begin"/>
      </w:r>
      <w:r w:rsidR="00FF087B" w:rsidRPr="009D3E72">
        <w:rPr>
          <w:lang w:val="de-DE"/>
        </w:rPr>
        <w:instrText>HYPERLINK "http://de.wikipedia.org/wiki/Diplomjurist" \o "Diplomjurist"</w:instrText>
      </w:r>
      <w:r w:rsidR="00FC7879">
        <w:fldChar w:fldCharType="separate"/>
      </w:r>
      <w:r w:rsidRPr="00AA473C">
        <w:rPr>
          <w:rStyle w:val="Hipervnculo"/>
          <w:rFonts w:ascii="Arial" w:hAnsi="Arial" w:cs="Arial"/>
          <w:color w:val="0B0080"/>
          <w:sz w:val="20"/>
          <w:szCs w:val="20"/>
          <w:lang w:val="de-DE"/>
        </w:rPr>
        <w:t>Diplomjuristen</w:t>
      </w:r>
      <w:r w:rsidR="00FC7879">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nach damaligen DDR-Recht). Er muss zum Deutschen Bundestag</w:t>
      </w:r>
      <w:r w:rsidRPr="00AA473C">
        <w:rPr>
          <w:rStyle w:val="apple-converted-space"/>
          <w:rFonts w:ascii="Arial" w:eastAsiaTheme="majorEastAsia" w:hAnsi="Arial" w:cs="Arial"/>
          <w:color w:val="000000"/>
          <w:sz w:val="20"/>
          <w:szCs w:val="20"/>
          <w:lang w:val="de-DE"/>
        </w:rPr>
        <w:t> </w:t>
      </w:r>
      <w:hyperlink r:id="rId56" w:anchor="Passives_Wahlrecht" w:tooltip="Wahlrecht" w:history="1">
        <w:r w:rsidRPr="00AA473C">
          <w:rPr>
            <w:rStyle w:val="Hipervnculo"/>
            <w:rFonts w:ascii="Arial" w:hAnsi="Arial" w:cs="Arial"/>
            <w:color w:val="0B0080"/>
            <w:sz w:val="20"/>
            <w:szCs w:val="20"/>
            <w:lang w:val="de-DE"/>
          </w:rPr>
          <w:t>wählbar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sein und darf weder dem Bundestag, dem Bundesrat, der Bundesregierung noch entsprechenden</w:t>
      </w:r>
      <w:r w:rsidRPr="00AA473C">
        <w:rPr>
          <w:rStyle w:val="apple-converted-space"/>
          <w:rFonts w:ascii="Arial" w:eastAsiaTheme="majorEastAsia" w:hAnsi="Arial" w:cs="Arial"/>
          <w:color w:val="000000"/>
          <w:sz w:val="20"/>
          <w:szCs w:val="20"/>
          <w:lang w:val="de-DE"/>
        </w:rPr>
        <w:t> </w:t>
      </w:r>
      <w:hyperlink r:id="rId57" w:tooltip="Organ (Recht)" w:history="1">
        <w:r w:rsidRPr="00AA473C">
          <w:rPr>
            <w:rStyle w:val="Hipervnculo"/>
            <w:rFonts w:ascii="Arial" w:hAnsi="Arial" w:cs="Arial"/>
            <w:color w:val="0B0080"/>
            <w:sz w:val="20"/>
            <w:szCs w:val="20"/>
            <w:lang w:val="de-DE"/>
          </w:rPr>
          <w:t>Organen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eines Landes angehören. Er kann zwar zum Zeitpunkt der Wahl zum Bundesverfassungsrichter den vorgenannten Organen angehören, scheidet jedoch mit der Ernennung zum Bundesverfassungsrichter aus den vorgenannten Organen aus.</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Gemäß</w:t>
      </w:r>
      <w:r w:rsidRPr="00AA473C">
        <w:rPr>
          <w:rStyle w:val="apple-converted-space"/>
          <w:rFonts w:ascii="Arial" w:eastAsiaTheme="majorEastAsia" w:hAnsi="Arial" w:cs="Arial"/>
          <w:color w:val="000000"/>
          <w:sz w:val="20"/>
          <w:szCs w:val="20"/>
          <w:lang w:val="de-DE"/>
        </w:rPr>
        <w:t> </w:t>
      </w:r>
      <w:hyperlink r:id="rId58" w:history="1">
        <w:r w:rsidRPr="00AA473C">
          <w:rPr>
            <w:rStyle w:val="Hipervnculo"/>
            <w:rFonts w:ascii="Arial" w:hAnsi="Arial" w:cs="Arial"/>
            <w:color w:val="663366"/>
            <w:sz w:val="20"/>
            <w:szCs w:val="20"/>
            <w:lang w:val="de-DE"/>
          </w:rPr>
          <w:t>§ 4</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Abs. 3 BVerfGG besteht eine Altersgrenze von 68 Jahren für die Richter. Mit Ablauf des Monats, in dem der Richter 68 Jahre alt wird, endet seine Amtszeit, wobei er allerdings das Amt noch weiterführt, bis ein Nachfolger ernannt ist. Nach</w:t>
      </w:r>
      <w:r w:rsidRPr="00AA473C">
        <w:rPr>
          <w:rStyle w:val="apple-converted-space"/>
          <w:rFonts w:ascii="Arial" w:eastAsiaTheme="majorEastAsia" w:hAnsi="Arial" w:cs="Arial"/>
          <w:color w:val="000000"/>
          <w:sz w:val="20"/>
          <w:szCs w:val="20"/>
          <w:lang w:val="de-DE"/>
        </w:rPr>
        <w:t> </w:t>
      </w:r>
      <w:hyperlink r:id="rId59" w:history="1">
        <w:r w:rsidRPr="00AA473C">
          <w:rPr>
            <w:rStyle w:val="Hipervnculo"/>
            <w:rFonts w:ascii="Arial" w:hAnsi="Arial" w:cs="Arial"/>
            <w:color w:val="663366"/>
            <w:sz w:val="20"/>
            <w:szCs w:val="20"/>
            <w:lang w:val="de-DE"/>
          </w:rPr>
          <w:t>§ 105</w:t>
        </w:r>
      </w:hyperlink>
      <w:r w:rsidRPr="00AA473C">
        <w:rPr>
          <w:rFonts w:ascii="Arial" w:hAnsi="Arial" w:cs="Arial"/>
          <w:color w:val="000000"/>
          <w:sz w:val="20"/>
          <w:szCs w:val="20"/>
          <w:lang w:val="de-DE"/>
        </w:rPr>
        <w:t>BVerfGG kann das Plenum bei dauerhafter Dienstunfähigkeit eines Richters den Bundespräsidenten ermächtigen, diesen in den</w:t>
      </w:r>
      <w:r w:rsidR="00FC7879">
        <w:fldChar w:fldCharType="begin"/>
      </w:r>
      <w:r w:rsidR="00FF087B" w:rsidRPr="009D3E72">
        <w:rPr>
          <w:lang w:val="de-DE"/>
        </w:rPr>
        <w:instrText>HYPERLINK "http://de.wikipedia.org/wiki/Ruhestand" \o "Ruhestand"</w:instrText>
      </w:r>
      <w:r w:rsidR="00FC7879">
        <w:fldChar w:fldCharType="separate"/>
      </w:r>
      <w:r w:rsidRPr="00AA473C">
        <w:rPr>
          <w:rStyle w:val="Hipervnculo"/>
          <w:rFonts w:ascii="Arial" w:hAnsi="Arial" w:cs="Arial"/>
          <w:color w:val="0B0080"/>
          <w:sz w:val="20"/>
          <w:szCs w:val="20"/>
          <w:lang w:val="de-DE"/>
        </w:rPr>
        <w:t>Ruhestand</w:t>
      </w:r>
      <w:r w:rsidR="00FC7879">
        <w:fldChar w:fldCharType="end"/>
      </w:r>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zu versetzen.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Präsident und Vizepräsident des Bundesverfassungsgerichts werden nach</w:t>
      </w:r>
      <w:r w:rsidRPr="00AA473C">
        <w:rPr>
          <w:rStyle w:val="apple-converted-space"/>
          <w:rFonts w:ascii="Arial" w:eastAsiaTheme="majorEastAsia" w:hAnsi="Arial" w:cs="Arial"/>
          <w:color w:val="000000"/>
          <w:sz w:val="20"/>
          <w:szCs w:val="20"/>
          <w:lang w:val="de-DE"/>
        </w:rPr>
        <w:t> </w:t>
      </w:r>
      <w:hyperlink r:id="rId60" w:history="1">
        <w:r w:rsidRPr="00AA473C">
          <w:rPr>
            <w:rStyle w:val="Hipervnculo"/>
            <w:rFonts w:ascii="Arial" w:hAnsi="Arial" w:cs="Arial"/>
            <w:color w:val="663366"/>
            <w:sz w:val="20"/>
            <w:szCs w:val="20"/>
            <w:lang w:val="de-DE"/>
          </w:rPr>
          <w:t>§ 9</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BVerfGG abwechselnd von Bundestag und Bundesrat bestimmt. Üblicherweise sind dies die Senatsvorsitzenden; auch ist es üblich, nach Ausscheiden eines Präsidenten aus dem Amt den Vizepräsidenten zu seinem Nachfolger zu bestimmen.</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Der Präsident ist Dienstvorgesetzter der Beamten des Gerichts. Das Gericht unterliegt als Verfassungsorgan keiner</w:t>
      </w:r>
      <w:r w:rsidRPr="00AA473C">
        <w:rPr>
          <w:rStyle w:val="apple-converted-space"/>
          <w:rFonts w:ascii="Arial" w:eastAsiaTheme="majorEastAsia" w:hAnsi="Arial" w:cs="Arial"/>
          <w:color w:val="000000"/>
          <w:sz w:val="20"/>
          <w:szCs w:val="20"/>
          <w:lang w:val="de-DE"/>
        </w:rPr>
        <w:t> </w:t>
      </w:r>
      <w:hyperlink r:id="rId61" w:tooltip="Dienstaufsicht" w:history="1">
        <w:r w:rsidRPr="00AA473C">
          <w:rPr>
            <w:rStyle w:val="Hipervnculo"/>
            <w:rFonts w:ascii="Arial" w:hAnsi="Arial" w:cs="Arial"/>
            <w:color w:val="0B0080"/>
            <w:sz w:val="20"/>
            <w:szCs w:val="20"/>
            <w:lang w:val="de-DE"/>
          </w:rPr>
          <w:t>Dienstaufsicht</w:t>
        </w:r>
      </w:hyperlink>
      <w:r w:rsidRPr="00AA473C">
        <w:rPr>
          <w:rFonts w:ascii="Arial" w:hAnsi="Arial" w:cs="Arial"/>
          <w:color w:val="000000"/>
          <w:sz w:val="20"/>
          <w:szCs w:val="20"/>
          <w:lang w:val="de-DE"/>
        </w:rPr>
        <w:t>.</w:t>
      </w:r>
    </w:p>
    <w:p w:rsidR="009819A5" w:rsidRPr="00AA473C" w:rsidRDefault="009819A5" w:rsidP="009819A5">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AA473C">
        <w:rPr>
          <w:rStyle w:val="mw-headline"/>
          <w:rFonts w:ascii="Arial" w:hAnsi="Arial" w:cs="Arial"/>
          <w:b w:val="0"/>
          <w:bCs w:val="0"/>
          <w:color w:val="000000"/>
          <w:sz w:val="29"/>
          <w:szCs w:val="29"/>
          <w:lang w:val="de-DE"/>
        </w:rPr>
        <w:t>Senate</w:t>
      </w:r>
      <w:r w:rsidRPr="00AA473C">
        <w:rPr>
          <w:rStyle w:val="apple-converted-space"/>
          <w:rFonts w:ascii="Arial" w:hAnsi="Arial" w:cs="Arial"/>
          <w:b w:val="0"/>
          <w:bCs w:val="0"/>
          <w:color w:val="000000"/>
          <w:sz w:val="29"/>
          <w:szCs w:val="29"/>
          <w:lang w:val="de-DE"/>
        </w:rPr>
        <w:t> </w:t>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Die Senate sind beide zuständig für Verfassungsbeschwerden (mit Ausnahme von Verfassungsbeschwerden von Gemeinden und solchen aus dem Bereich des</w:t>
      </w:r>
      <w:r w:rsidRPr="00AA473C">
        <w:rPr>
          <w:rStyle w:val="apple-converted-space"/>
          <w:rFonts w:ascii="Arial" w:eastAsiaTheme="majorEastAsia" w:hAnsi="Arial" w:cs="Arial"/>
          <w:color w:val="000000"/>
          <w:sz w:val="20"/>
          <w:szCs w:val="20"/>
          <w:lang w:val="de-DE"/>
        </w:rPr>
        <w:t> </w:t>
      </w:r>
      <w:hyperlink r:id="rId62" w:tooltip="Wahlrecht" w:history="1">
        <w:r w:rsidRPr="00AA473C">
          <w:rPr>
            <w:rStyle w:val="Hipervnculo"/>
            <w:rFonts w:ascii="Arial" w:hAnsi="Arial" w:cs="Arial"/>
            <w:color w:val="0B0080"/>
            <w:sz w:val="20"/>
            <w:szCs w:val="20"/>
            <w:lang w:val="de-DE"/>
          </w:rPr>
          <w:t>Wahlrechts</w:t>
        </w:r>
      </w:hyperlink>
      <w:r w:rsidRPr="00AA473C">
        <w:rPr>
          <w:rFonts w:ascii="Arial" w:hAnsi="Arial" w:cs="Arial"/>
          <w:color w:val="000000"/>
          <w:sz w:val="20"/>
          <w:szCs w:val="20"/>
          <w:lang w:val="de-DE"/>
        </w:rPr>
        <w:t>) sowie Normenkontrollverfahren, in denen überwiegend die Verletzung von</w:t>
      </w:r>
      <w:r w:rsidRPr="00AA473C">
        <w:rPr>
          <w:rStyle w:val="apple-converted-space"/>
          <w:rFonts w:ascii="Arial" w:eastAsiaTheme="majorEastAsia" w:hAnsi="Arial" w:cs="Arial"/>
          <w:color w:val="000000"/>
          <w:sz w:val="20"/>
          <w:szCs w:val="20"/>
          <w:lang w:val="de-DE"/>
        </w:rPr>
        <w:t> </w:t>
      </w:r>
      <w:hyperlink r:id="rId63" w:tooltip="Grundrechte (Deutschland)" w:history="1">
        <w:r w:rsidRPr="00AA473C">
          <w:rPr>
            <w:rStyle w:val="Hipervnculo"/>
            <w:rFonts w:ascii="Arial" w:hAnsi="Arial" w:cs="Arial"/>
            <w:color w:val="0B0080"/>
            <w:sz w:val="20"/>
            <w:szCs w:val="20"/>
            <w:lang w:val="de-DE"/>
          </w:rPr>
          <w:t>Grundrechten</w:t>
        </w:r>
      </w:hyperlink>
      <w:r w:rsidRPr="00AA473C">
        <w:rPr>
          <w:rFonts w:ascii="Arial" w:hAnsi="Arial" w:cs="Arial"/>
          <w:color w:val="000000"/>
          <w:sz w:val="20"/>
          <w:szCs w:val="20"/>
          <w:lang w:val="de-DE"/>
        </w:rPr>
        <w:t>geltend gemacht wird. Die sonstigen Verfahren werden ausschließlich durch den Zweiten Senat entschieden.</w:t>
      </w:r>
      <w:r w:rsidR="00FC7879">
        <w:fldChar w:fldCharType="begin"/>
      </w:r>
      <w:r w:rsidR="00FF087B" w:rsidRPr="009D3E72">
        <w:rPr>
          <w:lang w:val="de-DE"/>
        </w:rPr>
        <w:instrText>HYPERLINK "http://de.wikipedia.org/wiki/Bundesverfassungsgericht" \l "cite_note-18"</w:instrText>
      </w:r>
      <w:r w:rsidR="00FC7879">
        <w:fldChar w:fldCharType="separate"/>
      </w:r>
      <w:r w:rsidRPr="00AA473C">
        <w:rPr>
          <w:rStyle w:val="Hipervnculo"/>
          <w:rFonts w:ascii="Arial" w:hAnsi="Arial" w:cs="Arial"/>
          <w:color w:val="0B0080"/>
          <w:sz w:val="20"/>
          <w:szCs w:val="20"/>
          <w:vertAlign w:val="superscript"/>
          <w:lang w:val="de-DE"/>
        </w:rPr>
        <w:t>[18]</w:t>
      </w:r>
      <w:r w:rsidR="00FC7879">
        <w:fldChar w:fldCharType="end"/>
      </w: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Beabsichtigt ein Senat, eine von der Rechtsauffassung des anderen Senats abweichende Entscheidung zu fällen, entscheidet das Plenum des Bundesverfassungsgerichts.</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Pr="00AA473C"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A473C">
        <w:rPr>
          <w:rFonts w:ascii="Arial" w:hAnsi="Arial" w:cs="Arial"/>
          <w:color w:val="000000"/>
          <w:sz w:val="20"/>
          <w:szCs w:val="20"/>
          <w:lang w:val="de-DE"/>
        </w:rPr>
        <w:t>Der Präsident und der Vizepräsident (der aus dem Senat zu wählen ist, dem der Präsident nicht angehört) führen in ihrem Senat den Vorsitz.</w:t>
      </w:r>
      <w:r>
        <w:rPr>
          <w:rFonts w:ascii="Arial" w:hAnsi="Arial" w:cs="Arial"/>
          <w:color w:val="000000"/>
          <w:sz w:val="20"/>
          <w:szCs w:val="20"/>
          <w:lang w:val="de-DE"/>
        </w:rPr>
        <w:t xml:space="preserve"> </w:t>
      </w:r>
      <w:r w:rsidRPr="00AA473C">
        <w:rPr>
          <w:rFonts w:ascii="Arial" w:hAnsi="Arial" w:cs="Arial"/>
          <w:color w:val="000000"/>
          <w:sz w:val="20"/>
          <w:szCs w:val="20"/>
          <w:lang w:val="de-DE"/>
        </w:rPr>
        <w:t>Der Präsident des Bundesverfassungsgericht steht nach den</w:t>
      </w:r>
      <w:r w:rsidRPr="00AA473C">
        <w:rPr>
          <w:rStyle w:val="apple-converted-space"/>
          <w:rFonts w:ascii="Arial" w:eastAsiaTheme="majorEastAsia" w:hAnsi="Arial" w:cs="Arial"/>
          <w:color w:val="000000"/>
          <w:sz w:val="20"/>
          <w:szCs w:val="20"/>
          <w:lang w:val="de-DE"/>
        </w:rPr>
        <w:t> </w:t>
      </w:r>
      <w:hyperlink r:id="rId64" w:anchor="Deutschland" w:tooltip="Protokollarische Rangordnung" w:history="1">
        <w:r w:rsidRPr="00AA473C">
          <w:rPr>
            <w:rStyle w:val="Hipervnculo"/>
            <w:rFonts w:ascii="Arial" w:hAnsi="Arial" w:cs="Arial"/>
            <w:color w:val="0B0080"/>
            <w:sz w:val="20"/>
            <w:szCs w:val="20"/>
            <w:lang w:val="de-DE"/>
          </w:rPr>
          <w:t>diplomatischen protokollarischen Gepflogenheiten</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nach dem</w:t>
      </w:r>
      <w:r w:rsidR="00FC7879">
        <w:fldChar w:fldCharType="begin"/>
      </w:r>
      <w:r w:rsidR="00FF087B" w:rsidRPr="009D3E72">
        <w:rPr>
          <w:lang w:val="de-DE"/>
        </w:rPr>
        <w:instrText>HYPERLINK "http://de.wikipedia.org/wiki/Bundespr%C3%A4sident_(Deutschland)" \o "Bundespräsident (Deutschland)"</w:instrText>
      </w:r>
      <w:r w:rsidR="00FC7879">
        <w:fldChar w:fldCharType="separate"/>
      </w:r>
      <w:r w:rsidRPr="00AA473C">
        <w:rPr>
          <w:rStyle w:val="Hipervnculo"/>
          <w:rFonts w:ascii="Arial" w:hAnsi="Arial" w:cs="Arial"/>
          <w:color w:val="0B0080"/>
          <w:sz w:val="20"/>
          <w:szCs w:val="20"/>
          <w:lang w:val="de-DE"/>
        </w:rPr>
        <w:t>Bundespräsidenten</w:t>
      </w:r>
      <w:r w:rsidR="00FC7879">
        <w:fldChar w:fldCharType="end"/>
      </w:r>
      <w:r w:rsidRPr="00AA473C">
        <w:rPr>
          <w:rFonts w:ascii="Arial" w:hAnsi="Arial" w:cs="Arial"/>
          <w:color w:val="000000"/>
          <w:sz w:val="20"/>
          <w:szCs w:val="20"/>
          <w:lang w:val="de-DE"/>
        </w:rPr>
        <w:t>, dem</w:t>
      </w:r>
      <w:r w:rsidRPr="00AA473C">
        <w:rPr>
          <w:rStyle w:val="apple-converted-space"/>
          <w:rFonts w:ascii="Arial" w:eastAsiaTheme="majorEastAsia" w:hAnsi="Arial" w:cs="Arial"/>
          <w:color w:val="000000"/>
          <w:sz w:val="20"/>
          <w:szCs w:val="20"/>
          <w:lang w:val="de-DE"/>
        </w:rPr>
        <w:t> </w:t>
      </w:r>
      <w:hyperlink r:id="rId65" w:tooltip="Präsident des Deutschen Bundestages" w:history="1">
        <w:r w:rsidRPr="00AA473C">
          <w:rPr>
            <w:rStyle w:val="Hipervnculo"/>
            <w:rFonts w:ascii="Arial" w:hAnsi="Arial" w:cs="Arial"/>
            <w:color w:val="0B0080"/>
            <w:sz w:val="20"/>
            <w:szCs w:val="20"/>
            <w:lang w:val="de-DE"/>
          </w:rPr>
          <w:t>Präsidenten des Bundestages</w:t>
        </w:r>
      </w:hyperlink>
      <w:r w:rsidRPr="00AA473C">
        <w:rPr>
          <w:rFonts w:ascii="Arial" w:hAnsi="Arial" w:cs="Arial"/>
          <w:color w:val="000000"/>
          <w:sz w:val="20"/>
          <w:szCs w:val="20"/>
          <w:lang w:val="de-DE"/>
        </w:rPr>
        <w:t>, dem</w:t>
      </w:r>
      <w:r w:rsidRPr="00AA473C">
        <w:rPr>
          <w:rStyle w:val="apple-converted-space"/>
          <w:rFonts w:ascii="Arial" w:eastAsiaTheme="majorEastAsia" w:hAnsi="Arial" w:cs="Arial"/>
          <w:color w:val="000000"/>
          <w:sz w:val="20"/>
          <w:szCs w:val="20"/>
          <w:lang w:val="de-DE"/>
        </w:rPr>
        <w:t> </w:t>
      </w:r>
      <w:hyperlink r:id="rId66" w:tooltip="Bundeskanzler (Deutschland)" w:history="1">
        <w:r w:rsidRPr="00AA473C">
          <w:rPr>
            <w:rStyle w:val="Hipervnculo"/>
            <w:rFonts w:ascii="Arial" w:hAnsi="Arial" w:cs="Arial"/>
            <w:color w:val="0B0080"/>
            <w:sz w:val="20"/>
            <w:szCs w:val="20"/>
            <w:lang w:val="de-DE"/>
          </w:rPr>
          <w:t>Bundeskanzler</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und dem</w:t>
      </w:r>
      <w:r w:rsidRPr="00AA473C">
        <w:rPr>
          <w:rStyle w:val="apple-converted-space"/>
          <w:rFonts w:ascii="Arial" w:eastAsiaTheme="majorEastAsia" w:hAnsi="Arial" w:cs="Arial"/>
          <w:color w:val="000000"/>
          <w:sz w:val="20"/>
          <w:szCs w:val="20"/>
          <w:lang w:val="de-DE"/>
        </w:rPr>
        <w:t> </w:t>
      </w:r>
      <w:hyperlink r:id="rId67" w:tooltip="Präsident des Bundesrates (Deutschland)" w:history="1">
        <w:r w:rsidRPr="00AA473C">
          <w:rPr>
            <w:rStyle w:val="Hipervnculo"/>
            <w:rFonts w:ascii="Arial" w:hAnsi="Arial" w:cs="Arial"/>
            <w:color w:val="0B0080"/>
            <w:sz w:val="20"/>
            <w:szCs w:val="20"/>
            <w:lang w:val="de-DE"/>
          </w:rPr>
          <w:t>Präsidenten des Bundesrates</w:t>
        </w:r>
      </w:hyperlink>
      <w:r w:rsidRPr="00AA473C">
        <w:rPr>
          <w:rStyle w:val="apple-converted-space"/>
          <w:rFonts w:ascii="Arial" w:eastAsiaTheme="majorEastAsia" w:hAnsi="Arial" w:cs="Arial"/>
          <w:color w:val="000000"/>
          <w:sz w:val="20"/>
          <w:szCs w:val="20"/>
          <w:lang w:val="de-DE"/>
        </w:rPr>
        <w:t> </w:t>
      </w:r>
      <w:r w:rsidRPr="00AA473C">
        <w:rPr>
          <w:rFonts w:ascii="Arial" w:hAnsi="Arial" w:cs="Arial"/>
          <w:color w:val="000000"/>
          <w:sz w:val="20"/>
          <w:szCs w:val="20"/>
          <w:lang w:val="de-DE"/>
        </w:rPr>
        <w:t>an fünfter Stelle im Staat.</w:t>
      </w:r>
    </w:p>
    <w:p w:rsidR="009819A5" w:rsidRPr="00870186" w:rsidRDefault="009819A5" w:rsidP="009819A5">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870186">
        <w:rPr>
          <w:rStyle w:val="mw-headline"/>
          <w:rFonts w:ascii="Arial" w:hAnsi="Arial" w:cs="Arial"/>
          <w:b w:val="0"/>
          <w:bCs w:val="0"/>
          <w:color w:val="000000"/>
          <w:sz w:val="29"/>
          <w:szCs w:val="29"/>
          <w:lang w:val="de-DE"/>
        </w:rPr>
        <w:t>Frauenanteil im Bundesverfassungsgericht seit 1951</w:t>
      </w:r>
      <w:r w:rsidRPr="00870186">
        <w:rPr>
          <w:rStyle w:val="apple-converted-space"/>
          <w:rFonts w:ascii="Arial" w:hAnsi="Arial" w:cs="Arial"/>
          <w:b w:val="0"/>
          <w:bCs w:val="0"/>
          <w:color w:val="000000"/>
          <w:sz w:val="29"/>
          <w:szCs w:val="29"/>
          <w:lang w:val="de-DE"/>
        </w:rPr>
        <w:t> </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Heute sind</w:t>
      </w:r>
      <w:r w:rsidRPr="00870186">
        <w:rPr>
          <w:rStyle w:val="apple-converted-space"/>
          <w:rFonts w:ascii="Arial" w:eastAsiaTheme="majorEastAsia" w:hAnsi="Arial" w:cs="Arial"/>
          <w:color w:val="000000"/>
          <w:sz w:val="20"/>
          <w:szCs w:val="20"/>
          <w:lang w:val="de-DE"/>
        </w:rPr>
        <w:t> </w:t>
      </w:r>
      <w:hyperlink r:id="rId68" w:tooltip="Frau" w:history="1">
        <w:r w:rsidRPr="00870186">
          <w:rPr>
            <w:rStyle w:val="Hipervnculo"/>
            <w:rFonts w:ascii="Arial" w:hAnsi="Arial" w:cs="Arial"/>
            <w:color w:val="0B0080"/>
            <w:sz w:val="20"/>
            <w:szCs w:val="20"/>
            <w:lang w:val="de-DE"/>
          </w:rPr>
          <w:t>Frauen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mit den Richterinnen</w:t>
      </w:r>
      <w:r w:rsidRPr="00870186">
        <w:rPr>
          <w:rStyle w:val="apple-converted-space"/>
          <w:rFonts w:ascii="Arial" w:eastAsiaTheme="majorEastAsia" w:hAnsi="Arial" w:cs="Arial"/>
          <w:color w:val="000000"/>
          <w:sz w:val="20"/>
          <w:szCs w:val="20"/>
          <w:lang w:val="de-DE"/>
        </w:rPr>
        <w:t> </w:t>
      </w:r>
      <w:hyperlink r:id="rId69" w:tooltip="Susanne Baer" w:history="1">
        <w:r w:rsidRPr="00870186">
          <w:rPr>
            <w:rStyle w:val="Hipervnculo"/>
            <w:rFonts w:ascii="Arial" w:hAnsi="Arial" w:cs="Arial"/>
            <w:color w:val="0B0080"/>
            <w:sz w:val="20"/>
            <w:szCs w:val="20"/>
            <w:lang w:val="de-DE"/>
          </w:rPr>
          <w:t>Susanne Baer</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70" w:tooltip="Gabriele Britz" w:history="1">
        <w:r w:rsidRPr="00870186">
          <w:rPr>
            <w:rStyle w:val="Hipervnculo"/>
            <w:rFonts w:ascii="Arial" w:hAnsi="Arial" w:cs="Arial"/>
            <w:color w:val="0B0080"/>
            <w:sz w:val="20"/>
            <w:szCs w:val="20"/>
            <w:lang w:val="de-DE"/>
          </w:rPr>
          <w:t>Gabriele Britz</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im Ersten Senat sowie</w:t>
      </w:r>
      <w:r w:rsidRPr="00870186">
        <w:rPr>
          <w:rStyle w:val="apple-converted-space"/>
          <w:rFonts w:ascii="Arial" w:eastAsiaTheme="majorEastAsia" w:hAnsi="Arial" w:cs="Arial"/>
          <w:color w:val="000000"/>
          <w:sz w:val="20"/>
          <w:szCs w:val="20"/>
          <w:lang w:val="de-DE"/>
        </w:rPr>
        <w:t> </w:t>
      </w:r>
      <w:hyperlink r:id="rId71" w:tooltip="Gertrude Lübbe-Wolff" w:history="1">
        <w:r w:rsidRPr="00870186">
          <w:rPr>
            <w:rStyle w:val="Hipervnculo"/>
            <w:rFonts w:ascii="Arial" w:hAnsi="Arial" w:cs="Arial"/>
            <w:color w:val="0B0080"/>
            <w:sz w:val="20"/>
            <w:szCs w:val="20"/>
            <w:lang w:val="de-DE"/>
          </w:rPr>
          <w:t>Gertrude Lübbe-Wolff</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72" w:tooltip="Monika Hermanns" w:history="1">
        <w:r w:rsidRPr="00870186">
          <w:rPr>
            <w:rStyle w:val="Hipervnculo"/>
            <w:rFonts w:ascii="Arial" w:hAnsi="Arial" w:cs="Arial"/>
            <w:color w:val="0B0080"/>
            <w:sz w:val="20"/>
            <w:szCs w:val="20"/>
            <w:lang w:val="de-DE"/>
          </w:rPr>
          <w:t>Monika Hermanns</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73" w:tooltip="Sibylle Kessal-Wulf" w:history="1">
        <w:r w:rsidRPr="00870186">
          <w:rPr>
            <w:rStyle w:val="Hipervnculo"/>
            <w:rFonts w:ascii="Arial" w:hAnsi="Arial" w:cs="Arial"/>
            <w:color w:val="0B0080"/>
            <w:sz w:val="20"/>
            <w:szCs w:val="20"/>
            <w:lang w:val="de-DE"/>
          </w:rPr>
          <w:t>Sibylle Kessal-Wulf</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im Zweiten Senat in einem Anteil von rund 31 Prozent der insgesamt 16 Verfassungsrichter vertreten. Seit seiner Gründung 1951 wurden fünfzehn Frauen zu Richterinnen des Bundesverfassungsgerichts berufen.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In seiner Entwicklung war der</w:t>
      </w:r>
      <w:r w:rsidRPr="00870186">
        <w:rPr>
          <w:rStyle w:val="apple-converted-space"/>
          <w:rFonts w:ascii="Arial" w:eastAsiaTheme="majorEastAsia" w:hAnsi="Arial" w:cs="Arial"/>
          <w:color w:val="000000"/>
          <w:sz w:val="20"/>
          <w:szCs w:val="20"/>
          <w:lang w:val="de-DE"/>
        </w:rPr>
        <w:t> </w:t>
      </w:r>
      <w:hyperlink r:id="rId74" w:tooltip="Frauenanteil" w:history="1">
        <w:r w:rsidRPr="00870186">
          <w:rPr>
            <w:rStyle w:val="Hipervnculo"/>
            <w:rFonts w:ascii="Arial" w:hAnsi="Arial" w:cs="Arial"/>
            <w:color w:val="0B0080"/>
            <w:sz w:val="20"/>
            <w:szCs w:val="20"/>
            <w:lang w:val="de-DE"/>
          </w:rPr>
          <w:t>Frauenanteil</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am gesamten Bundesverfassungsgericht lange Zeit kaum verschieden von dem im</w:t>
      </w:r>
      <w:r w:rsidRPr="00870186">
        <w:rPr>
          <w:rStyle w:val="apple-converted-space"/>
          <w:rFonts w:ascii="Arial" w:eastAsiaTheme="majorEastAsia" w:hAnsi="Arial" w:cs="Arial"/>
          <w:color w:val="000000"/>
          <w:sz w:val="20"/>
          <w:szCs w:val="20"/>
          <w:lang w:val="de-DE"/>
        </w:rPr>
        <w:t> </w:t>
      </w:r>
      <w:hyperlink r:id="rId75" w:tooltip="Frauenanteil im Deutschen Bundestag seit 1949" w:history="1">
        <w:r w:rsidRPr="00870186">
          <w:rPr>
            <w:rStyle w:val="Hipervnculo"/>
            <w:rFonts w:ascii="Arial" w:hAnsi="Arial" w:cs="Arial"/>
            <w:color w:val="0B0080"/>
            <w:sz w:val="20"/>
            <w:szCs w:val="20"/>
            <w:lang w:val="de-DE"/>
          </w:rPr>
          <w:t>Deutschen Bundestag</w:t>
        </w:r>
      </w:hyperlink>
      <w:r w:rsidRPr="00870186">
        <w:rPr>
          <w:rFonts w:ascii="Arial" w:hAnsi="Arial" w:cs="Arial"/>
          <w:color w:val="000000"/>
          <w:sz w:val="20"/>
          <w:szCs w:val="20"/>
          <w:lang w:val="de-DE"/>
        </w:rPr>
        <w:t xml:space="preserve">, der die Hälfte der Bundesverfassungsrichter wählt. Bis Mitte der 1980er Jahre lag die Frauenbeteiligung in beiden Gremien unter 10 Prozent und stieg dann bis </w:t>
      </w:r>
      <w:r w:rsidRPr="00870186">
        <w:rPr>
          <w:rFonts w:ascii="Arial" w:hAnsi="Arial" w:cs="Arial"/>
          <w:color w:val="000000"/>
          <w:sz w:val="20"/>
          <w:szCs w:val="20"/>
          <w:lang w:val="de-DE"/>
        </w:rPr>
        <w:lastRenderedPageBreak/>
        <w:t>in die 90er Jahre zügig auf knapp ein Drittel ihrer jeweiligen Mitglieder an. Während sich der Frauenanteil unter den rund 600 Bundestagsabgeordneten bis heute auf diesem Niveau bewegt, fiel er im Bundesverfassungsgericht nach 2006 durch die ausbleibende Berufung weiblicher Nachfolger zweier Richterinnen zwischenzeitlich auf knapp 20 Prozent.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Einzeln betrachtet entwickelten sich Erster und Zweiter Senat, die in ihrer Arbeit getrennte Gremien sind, in ihrer Frauenbeteiligung sehr unterschiedlich. Während im Ersten Senat von der Gründung des Gerichts an eine Richterin vertreten war, arbeitete im Zweiten Senat bis zur Berufung von</w:t>
      </w:r>
      <w:r w:rsidRPr="00870186">
        <w:rPr>
          <w:rStyle w:val="apple-converted-space"/>
          <w:rFonts w:ascii="Arial" w:eastAsiaTheme="majorEastAsia" w:hAnsi="Arial" w:cs="Arial"/>
          <w:color w:val="000000"/>
          <w:sz w:val="20"/>
          <w:szCs w:val="20"/>
          <w:lang w:val="de-DE"/>
        </w:rPr>
        <w:t> </w:t>
      </w:r>
      <w:hyperlink r:id="rId76" w:tooltip="Karin Graßhof" w:history="1">
        <w:r w:rsidRPr="00870186">
          <w:rPr>
            <w:rStyle w:val="Hipervnculo"/>
            <w:rFonts w:ascii="Arial" w:hAnsi="Arial" w:cs="Arial"/>
            <w:color w:val="0B0080"/>
            <w:sz w:val="20"/>
            <w:szCs w:val="20"/>
            <w:lang w:val="de-DE"/>
          </w:rPr>
          <w:t>Karin Graßhof</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1986 keine Frau. Seit dem Amtsantritt von</w:t>
      </w:r>
      <w:r w:rsidRPr="00870186">
        <w:rPr>
          <w:rStyle w:val="apple-converted-space"/>
          <w:rFonts w:ascii="Arial" w:eastAsiaTheme="majorEastAsia" w:hAnsi="Arial" w:cs="Arial"/>
          <w:color w:val="000000"/>
          <w:sz w:val="20"/>
          <w:szCs w:val="20"/>
          <w:lang w:val="de-DE"/>
        </w:rPr>
        <w:t> </w:t>
      </w:r>
      <w:hyperlink r:id="rId77" w:tooltip="Jutta Limbach" w:history="1">
        <w:r w:rsidRPr="00870186">
          <w:rPr>
            <w:rStyle w:val="Hipervnculo"/>
            <w:rFonts w:ascii="Arial" w:hAnsi="Arial" w:cs="Arial"/>
            <w:color w:val="0B0080"/>
            <w:sz w:val="20"/>
            <w:szCs w:val="20"/>
            <w:lang w:val="de-DE"/>
          </w:rPr>
          <w:t>Jutta Limbach</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1994, die vom Bundestag wenig später zur Präsidentin des Gerichts ernannt wurde,</w:t>
      </w:r>
      <w:hyperlink r:id="rId78" w:anchor="cite_note-22" w:history="1">
        <w:r w:rsidRPr="00870186">
          <w:rPr>
            <w:rStyle w:val="Hipervnculo"/>
            <w:rFonts w:ascii="Arial" w:hAnsi="Arial" w:cs="Arial"/>
            <w:color w:val="0B0080"/>
            <w:sz w:val="20"/>
            <w:szCs w:val="20"/>
            <w:vertAlign w:val="superscript"/>
            <w:lang w:val="de-DE"/>
          </w:rPr>
          <w:t>[22]</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bis zum Dezember 2011 war der Zweite Senat durchgängig mit genau zwei Frauen besetzt.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Im Jahr 1994, in dem der Bundestag auch das</w:t>
      </w:r>
      <w:r w:rsidRPr="00870186">
        <w:rPr>
          <w:rStyle w:val="apple-converted-space"/>
          <w:rFonts w:ascii="Arial" w:eastAsiaTheme="majorEastAsia" w:hAnsi="Arial" w:cs="Arial"/>
          <w:color w:val="000000"/>
          <w:sz w:val="20"/>
          <w:szCs w:val="20"/>
          <w:lang w:val="de-DE"/>
        </w:rPr>
        <w:t> </w:t>
      </w:r>
      <w:hyperlink r:id="rId79" w:anchor="Deutschland" w:tooltip="Staatsziel" w:history="1">
        <w:r w:rsidRPr="00870186">
          <w:rPr>
            <w:rStyle w:val="Hipervnculo"/>
            <w:rFonts w:ascii="Arial" w:hAnsi="Arial" w:cs="Arial"/>
            <w:color w:val="0B0080"/>
            <w:sz w:val="20"/>
            <w:szCs w:val="20"/>
            <w:lang w:val="de-DE"/>
          </w:rPr>
          <w:t>Staatsziel</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der Hinwirkung auf die</w:t>
      </w:r>
      <w:r w:rsidRPr="00870186">
        <w:rPr>
          <w:rStyle w:val="apple-converted-space"/>
          <w:rFonts w:ascii="Arial" w:eastAsiaTheme="majorEastAsia" w:hAnsi="Arial" w:cs="Arial"/>
          <w:color w:val="000000"/>
          <w:sz w:val="20"/>
          <w:szCs w:val="20"/>
          <w:lang w:val="de-DE"/>
        </w:rPr>
        <w:t> </w:t>
      </w:r>
      <w:hyperlink r:id="rId80" w:tooltip="Gleichstellung der Geschlechter" w:history="1">
        <w:r w:rsidRPr="00870186">
          <w:rPr>
            <w:rStyle w:val="Hipervnculo"/>
            <w:rFonts w:ascii="Arial" w:hAnsi="Arial" w:cs="Arial"/>
            <w:color w:val="0B0080"/>
            <w:sz w:val="20"/>
            <w:szCs w:val="20"/>
            <w:lang w:val="de-DE"/>
          </w:rPr>
          <w:t>Gleichberechtigung von Männern und Frauen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als</w:t>
      </w:r>
      <w:hyperlink r:id="rId81" w:anchor="Situation_in_Deutschland" w:tooltip="Gleichberechtigung" w:history="1">
        <w:r w:rsidRPr="00870186">
          <w:rPr>
            <w:rStyle w:val="Hipervnculo"/>
            <w:rFonts w:ascii="Arial" w:hAnsi="Arial" w:cs="Arial"/>
            <w:color w:val="0B0080"/>
            <w:sz w:val="20"/>
            <w:szCs w:val="20"/>
            <w:lang w:val="de-DE"/>
          </w:rPr>
          <w:t>Verfassungszusatz</w:t>
        </w:r>
      </w:hyperlink>
      <w:hyperlink r:id="rId82" w:anchor="cite_note-23" w:history="1">
        <w:r w:rsidRPr="00870186">
          <w:rPr>
            <w:rStyle w:val="Hipervnculo"/>
            <w:rFonts w:ascii="Arial" w:hAnsi="Arial" w:cs="Arial"/>
            <w:color w:val="0B0080"/>
            <w:sz w:val="20"/>
            <w:szCs w:val="20"/>
            <w:vertAlign w:val="superscript"/>
            <w:lang w:val="de-DE"/>
          </w:rPr>
          <w:t>[23]</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festschrieb, wurde im Ersten Senat durch die Berufung zweier Verfassungsrichterinnen auf vorher mit Männern besetzte Stellen der Anteil der hier tätigen Frauen verdreifacht. Mit nunmehr drei Richterinnen (37,5 Prozent) war der Erste Senat bereits von 1994 bis 2004 lediglich eine Richterstelle entfernt von einer „halbe-halbe“ Zusammensetzung aus Männern und Frauen. Nach 2006 fiel hier der Frauenanteil auf die bereits von 1951 bis 1994 bestehende Beteiligung von lediglich einer Richterin zurück, was zu Kritik führte und dem Gremium aufgrund des Zahlenverhältnisses von einer Frau zu sieben Männern erneut den Namen „</w:t>
      </w:r>
      <w:hyperlink r:id="rId83" w:anchor="Schneewittchen_und_die_sieben_Zwerge" w:tooltip="Schneewittchen" w:history="1">
        <w:r w:rsidRPr="00870186">
          <w:rPr>
            <w:rStyle w:val="Hipervnculo"/>
            <w:rFonts w:ascii="Arial" w:hAnsi="Arial" w:cs="Arial"/>
            <w:color w:val="0B0080"/>
            <w:sz w:val="20"/>
            <w:szCs w:val="20"/>
            <w:lang w:val="de-DE"/>
          </w:rPr>
          <w:t>Schneewittchen</w:t>
        </w:r>
      </w:hyperlink>
      <w:r w:rsidRPr="00870186">
        <w:rPr>
          <w:rFonts w:ascii="Arial" w:hAnsi="Arial" w:cs="Arial"/>
          <w:color w:val="000000"/>
          <w:sz w:val="20"/>
          <w:szCs w:val="20"/>
          <w:lang w:val="de-DE"/>
        </w:rPr>
        <w:t>-Senat“ eintrug.</w:t>
      </w:r>
      <w:r w:rsidR="00FC7879">
        <w:fldChar w:fldCharType="begin"/>
      </w:r>
      <w:r w:rsidR="00FF087B" w:rsidRPr="009D3E72">
        <w:rPr>
          <w:lang w:val="de-DE"/>
        </w:rPr>
        <w:instrText>HYPERLINK "http://de.wikipedia.org/wiki/Bundesverfassungsgericht" \l "cite_note-24"</w:instrText>
      </w:r>
      <w:r w:rsidR="00FC7879">
        <w:fldChar w:fldCharType="separate"/>
      </w:r>
      <w:r w:rsidRPr="00870186">
        <w:rPr>
          <w:rStyle w:val="Hipervnculo"/>
          <w:rFonts w:ascii="Arial" w:hAnsi="Arial" w:cs="Arial"/>
          <w:color w:val="0B0080"/>
          <w:sz w:val="20"/>
          <w:szCs w:val="20"/>
          <w:vertAlign w:val="superscript"/>
          <w:lang w:val="de-DE"/>
        </w:rPr>
        <w:t>[24]</w:t>
      </w:r>
      <w:r w:rsidR="00FC7879">
        <w:fldChar w:fldCharType="end"/>
      </w:r>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Seit Februar 2011 sind mit der Berufung von</w:t>
      </w:r>
      <w:r w:rsidRPr="00870186">
        <w:rPr>
          <w:rStyle w:val="apple-converted-space"/>
          <w:rFonts w:ascii="Arial" w:eastAsiaTheme="majorEastAsia" w:hAnsi="Arial" w:cs="Arial"/>
          <w:color w:val="000000"/>
          <w:sz w:val="20"/>
          <w:szCs w:val="20"/>
          <w:lang w:val="de-DE"/>
        </w:rPr>
        <w:t> </w:t>
      </w:r>
      <w:hyperlink r:id="rId84" w:tooltip="Susanne Baer" w:history="1">
        <w:r w:rsidRPr="00870186">
          <w:rPr>
            <w:rStyle w:val="Hipervnculo"/>
            <w:rFonts w:ascii="Arial" w:hAnsi="Arial" w:cs="Arial"/>
            <w:color w:val="0B0080"/>
            <w:sz w:val="20"/>
            <w:szCs w:val="20"/>
            <w:lang w:val="de-DE"/>
          </w:rPr>
          <w:t>Susanne Baer</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als Nachfolgerin von</w:t>
      </w:r>
      <w:r w:rsidRPr="00870186">
        <w:rPr>
          <w:rStyle w:val="apple-converted-space"/>
          <w:rFonts w:ascii="Arial" w:eastAsiaTheme="majorEastAsia" w:hAnsi="Arial" w:cs="Arial"/>
          <w:color w:val="000000"/>
          <w:sz w:val="20"/>
          <w:szCs w:val="20"/>
          <w:lang w:val="de-DE"/>
        </w:rPr>
        <w:t> </w:t>
      </w:r>
      <w:hyperlink r:id="rId85" w:tooltip="Brun-Otto Bryde" w:history="1">
        <w:r w:rsidRPr="00870186">
          <w:rPr>
            <w:rStyle w:val="Hipervnculo"/>
            <w:rFonts w:ascii="Arial" w:hAnsi="Arial" w:cs="Arial"/>
            <w:color w:val="0B0080"/>
            <w:sz w:val="20"/>
            <w:szCs w:val="20"/>
            <w:lang w:val="de-DE"/>
          </w:rPr>
          <w:t>Brun-Otto Bryde</w:t>
        </w:r>
      </w:hyperlink>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86" w:tooltip="Gabriele Britz" w:history="1">
        <w:r w:rsidRPr="00870186">
          <w:rPr>
            <w:rStyle w:val="Hipervnculo"/>
            <w:rFonts w:ascii="Arial" w:hAnsi="Arial" w:cs="Arial"/>
            <w:color w:val="0B0080"/>
            <w:sz w:val="20"/>
            <w:szCs w:val="20"/>
            <w:lang w:val="de-DE"/>
          </w:rPr>
          <w:t>Gabriele Britz</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auf die seit der Gerichtsgründung weiblich besetzte Richterstelle wieder zwei Frauen im Ersten Senat tätig.</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Im Dezember 2011 trat mit</w:t>
      </w:r>
      <w:r w:rsidRPr="00870186">
        <w:rPr>
          <w:rStyle w:val="apple-converted-space"/>
          <w:rFonts w:ascii="Arial" w:eastAsiaTheme="majorEastAsia" w:hAnsi="Arial" w:cs="Arial"/>
          <w:color w:val="000000"/>
          <w:sz w:val="20"/>
          <w:szCs w:val="20"/>
          <w:lang w:val="de-DE"/>
        </w:rPr>
        <w:t> </w:t>
      </w:r>
      <w:hyperlink r:id="rId87" w:tooltip="Sibylle Kessal-Wulf" w:history="1">
        <w:r w:rsidRPr="00870186">
          <w:rPr>
            <w:rStyle w:val="Hipervnculo"/>
            <w:rFonts w:ascii="Arial" w:hAnsi="Arial" w:cs="Arial"/>
            <w:color w:val="0B0080"/>
            <w:sz w:val="20"/>
            <w:szCs w:val="20"/>
            <w:lang w:val="de-DE"/>
          </w:rPr>
          <w:t>Sibylle Kessal-Wulf</w:t>
        </w:r>
      </w:hyperlink>
      <w:hyperlink r:id="rId88" w:anchor="cite_note-25" w:history="1">
        <w:r w:rsidRPr="00870186">
          <w:rPr>
            <w:rStyle w:val="Hipervnculo"/>
            <w:rFonts w:ascii="Arial" w:hAnsi="Arial" w:cs="Arial"/>
            <w:color w:val="0B0080"/>
            <w:sz w:val="20"/>
            <w:szCs w:val="20"/>
            <w:vertAlign w:val="superscript"/>
            <w:lang w:val="de-DE"/>
          </w:rPr>
          <w:t>[25]</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eine Frau die Nachfolge auf einer der beiden zur Neubesetzung anstehenden, bis dahin mit Männern besetzten Richterstellen an. Damit ist der Zweite Senat erstmals in seiner Geschichte mit drei Frauen besetzt (37,5 Prozent) und das Bundesverfassungsgericht insgesamt verfügt wie zuerst fast 20 Jahre zuvor wieder über eine Frauenbeteiligung von rund 31 Prozent.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i/>
          <w:iCs/>
          <w:color w:val="000000"/>
          <w:sz w:val="20"/>
          <w:szCs w:val="20"/>
          <w:lang w:val="de-DE"/>
        </w:rPr>
        <w:t>Siehe auch</w:t>
      </w:r>
      <w:r w:rsidRPr="00870186">
        <w:rPr>
          <w:rStyle w:val="apple-converted-space"/>
          <w:rFonts w:ascii="Arial" w:eastAsiaTheme="majorEastAsia" w:hAnsi="Arial" w:cs="Arial"/>
          <w:i/>
          <w:iCs/>
          <w:color w:val="000000"/>
          <w:sz w:val="20"/>
          <w:szCs w:val="20"/>
          <w:lang w:val="de-DE"/>
        </w:rPr>
        <w:t> </w:t>
      </w:r>
      <w:hyperlink r:id="rId89" w:anchor="Frauen_im_Ersten_und_Zweiten_Senat_seit_1951" w:tooltip="Liste der Richter am deutschen Bundesverfassungsgericht" w:history="1">
        <w:r w:rsidRPr="00870186">
          <w:rPr>
            <w:rStyle w:val="Hipervnculo"/>
            <w:rFonts w:ascii="Arial" w:hAnsi="Arial" w:cs="Arial"/>
            <w:i/>
            <w:iCs/>
            <w:color w:val="0B0080"/>
            <w:sz w:val="20"/>
            <w:szCs w:val="20"/>
            <w:lang w:val="de-DE"/>
          </w:rPr>
          <w:t>Frauen im Ersten und Zweiten Senat seit 1951</w:t>
        </w:r>
      </w:hyperlink>
      <w:r w:rsidRPr="00870186">
        <w:rPr>
          <w:rStyle w:val="apple-converted-space"/>
          <w:rFonts w:ascii="Arial" w:eastAsiaTheme="majorEastAsia" w:hAnsi="Arial" w:cs="Arial"/>
          <w:i/>
          <w:iCs/>
          <w:color w:val="000000"/>
          <w:sz w:val="20"/>
          <w:szCs w:val="20"/>
          <w:lang w:val="de-DE"/>
        </w:rPr>
        <w:t> </w:t>
      </w:r>
      <w:r w:rsidRPr="00870186">
        <w:rPr>
          <w:rFonts w:ascii="Arial" w:hAnsi="Arial" w:cs="Arial"/>
          <w:i/>
          <w:iCs/>
          <w:color w:val="000000"/>
          <w:sz w:val="20"/>
          <w:szCs w:val="20"/>
          <w:lang w:val="de-DE"/>
        </w:rPr>
        <w:t>und</w:t>
      </w:r>
      <w:r w:rsidRPr="00870186">
        <w:rPr>
          <w:rStyle w:val="apple-converted-space"/>
          <w:rFonts w:ascii="Arial" w:eastAsiaTheme="majorEastAsia" w:hAnsi="Arial" w:cs="Arial"/>
          <w:i/>
          <w:iCs/>
          <w:color w:val="000000"/>
          <w:sz w:val="20"/>
          <w:szCs w:val="20"/>
          <w:lang w:val="de-DE"/>
        </w:rPr>
        <w:t> </w:t>
      </w:r>
      <w:hyperlink r:id="rId90" w:anchor="Frauenanteil_in_der_Justiz" w:tooltip="Liste von Frauenanteilen in der Berufswelt" w:history="1">
        <w:r w:rsidRPr="00870186">
          <w:rPr>
            <w:rStyle w:val="Hipervnculo"/>
            <w:rFonts w:ascii="Arial" w:hAnsi="Arial" w:cs="Arial"/>
            <w:i/>
            <w:iCs/>
            <w:color w:val="0B0080"/>
            <w:sz w:val="20"/>
            <w:szCs w:val="20"/>
            <w:lang w:val="de-DE"/>
          </w:rPr>
          <w:t>Liste: Frauenanteil in der Justiz</w:t>
        </w:r>
      </w:hyperlink>
    </w:p>
    <w:p w:rsidR="009819A5" w:rsidRPr="00870186" w:rsidRDefault="009819A5" w:rsidP="009819A5">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870186">
        <w:rPr>
          <w:rStyle w:val="mw-headline"/>
          <w:rFonts w:ascii="Arial" w:hAnsi="Arial" w:cs="Arial"/>
          <w:b w:val="0"/>
          <w:bCs w:val="0"/>
          <w:color w:val="000000"/>
          <w:sz w:val="29"/>
          <w:szCs w:val="29"/>
          <w:lang w:val="de-DE"/>
        </w:rPr>
        <w:t>Zuständigkeiten und Verfahrensarten (Überblick)</w:t>
      </w:r>
      <w:r w:rsidRPr="00870186">
        <w:rPr>
          <w:rStyle w:val="apple-converted-space"/>
          <w:rFonts w:ascii="Arial" w:hAnsi="Arial" w:cs="Arial"/>
          <w:b w:val="0"/>
          <w:bCs w:val="0"/>
          <w:color w:val="000000"/>
          <w:sz w:val="29"/>
          <w:szCs w:val="29"/>
          <w:lang w:val="de-DE"/>
        </w:rPr>
        <w:t> </w:t>
      </w:r>
      <w:r w:rsidRPr="00870186">
        <w:rPr>
          <w:rStyle w:val="editsection"/>
          <w:rFonts w:ascii="Arial" w:hAnsi="Arial" w:cs="Arial"/>
          <w:b w:val="0"/>
          <w:bCs w:val="0"/>
          <w:color w:val="000000"/>
          <w:sz w:val="20"/>
          <w:szCs w:val="20"/>
          <w:lang w:val="de-DE"/>
        </w:rPr>
        <w:t>[</w:t>
      </w:r>
      <w:hyperlink r:id="rId91" w:tooltip="Abschnitt bearbeiten: Zuständigkeiten und Verfahrensarten (Überblick)"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Bundesverfassungsgericht ist zur Streitentscheidung nur zuständig, wenn sich dies aus dem GG (</w:t>
      </w:r>
      <w:hyperlink r:id="rId92" w:tooltip="Grundgesetz für die Bundesrepublik Deutschland" w:history="1">
        <w:r w:rsidRPr="00870186">
          <w:rPr>
            <w:rStyle w:val="Hipervnculo"/>
            <w:rFonts w:ascii="Arial" w:hAnsi="Arial" w:cs="Arial"/>
            <w:color w:val="0B0080"/>
            <w:sz w:val="20"/>
            <w:szCs w:val="20"/>
            <w:lang w:val="de-DE"/>
          </w:rPr>
          <w:t>Grundgesetz</w:t>
        </w:r>
      </w:hyperlink>
      <w:r w:rsidRPr="00870186">
        <w:rPr>
          <w:rFonts w:ascii="Arial" w:hAnsi="Arial" w:cs="Arial"/>
          <w:color w:val="000000"/>
          <w:sz w:val="20"/>
          <w:szCs w:val="20"/>
          <w:lang w:val="de-DE"/>
        </w:rPr>
        <w:t>) oder</w:t>
      </w:r>
      <w:r w:rsidRPr="00870186">
        <w:rPr>
          <w:rStyle w:val="apple-converted-space"/>
          <w:rFonts w:ascii="Arial" w:eastAsiaTheme="majorEastAsia" w:hAnsi="Arial" w:cs="Arial"/>
          <w:color w:val="000000"/>
          <w:sz w:val="20"/>
          <w:szCs w:val="20"/>
          <w:lang w:val="de-DE"/>
        </w:rPr>
        <w:t> </w:t>
      </w:r>
      <w:hyperlink r:id="rId93" w:history="1">
        <w:r w:rsidRPr="00870186">
          <w:rPr>
            <w:rStyle w:val="Hipervnculo"/>
            <w:rFonts w:ascii="Arial" w:hAnsi="Arial" w:cs="Arial"/>
            <w:color w:val="663366"/>
            <w:sz w:val="20"/>
            <w:szCs w:val="20"/>
            <w:lang w:val="de-DE"/>
          </w:rPr>
          <w:t>§ 13</w:t>
        </w:r>
      </w:hyperlink>
      <w:r w:rsidRPr="00870186">
        <w:rPr>
          <w:rFonts w:ascii="Arial" w:hAnsi="Arial" w:cs="Arial"/>
          <w:color w:val="000000"/>
          <w:sz w:val="20"/>
          <w:szCs w:val="20"/>
          <w:lang w:val="de-DE"/>
        </w:rPr>
        <w:t>BVerfGG ergibt (sogenanntes</w:t>
      </w:r>
      <w:r w:rsidRPr="00870186">
        <w:rPr>
          <w:rStyle w:val="apple-converted-space"/>
          <w:rFonts w:ascii="Arial" w:eastAsiaTheme="majorEastAsia" w:hAnsi="Arial" w:cs="Arial"/>
          <w:color w:val="000000"/>
          <w:sz w:val="20"/>
          <w:szCs w:val="20"/>
          <w:lang w:val="de-DE"/>
        </w:rPr>
        <w:t> </w:t>
      </w:r>
      <w:hyperlink r:id="rId94" w:tooltip="Enumerativ" w:history="1">
        <w:r w:rsidRPr="00870186">
          <w:rPr>
            <w:rStyle w:val="Hipervnculo"/>
            <w:rFonts w:ascii="Arial" w:hAnsi="Arial" w:cs="Arial"/>
            <w:i/>
            <w:iCs/>
            <w:color w:val="0B0080"/>
            <w:sz w:val="20"/>
            <w:szCs w:val="20"/>
            <w:lang w:val="de-DE"/>
          </w:rPr>
          <w:t>Enumerativprinzip</w:t>
        </w:r>
      </w:hyperlink>
      <w:r w:rsidRPr="00870186">
        <w:rPr>
          <w:rFonts w:ascii="Arial" w:hAnsi="Arial" w:cs="Arial"/>
          <w:color w:val="000000"/>
          <w:sz w:val="20"/>
          <w:szCs w:val="20"/>
          <w:lang w:val="de-DE"/>
        </w:rPr>
        <w:t>). Wie jedes andere Gericht kann es nicht von sich aus aktiv werden, sondern muss angerufen werden. Neben seinen Aufgaben auf Bundesebene kann es eine Zuständigkeit bei Verfassungsstreitigkeiten um die Auslegung von</w:t>
      </w:r>
      <w:r w:rsidRPr="00870186">
        <w:rPr>
          <w:rStyle w:val="apple-converted-space"/>
          <w:rFonts w:ascii="Arial" w:eastAsiaTheme="majorEastAsia" w:hAnsi="Arial" w:cs="Arial"/>
          <w:color w:val="000000"/>
          <w:sz w:val="20"/>
          <w:szCs w:val="20"/>
          <w:lang w:val="de-DE"/>
        </w:rPr>
        <w:t> </w:t>
      </w:r>
      <w:hyperlink r:id="rId95" w:tooltip="Landesverfassung (Deutschland)" w:history="1">
        <w:r w:rsidRPr="00870186">
          <w:rPr>
            <w:rStyle w:val="Hipervnculo"/>
            <w:rFonts w:ascii="Arial" w:hAnsi="Arial" w:cs="Arial"/>
            <w:color w:val="0B0080"/>
            <w:sz w:val="20"/>
            <w:szCs w:val="20"/>
            <w:lang w:val="de-DE"/>
          </w:rPr>
          <w:t>Landesverfassungen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geben, wenn dies die Verfassung eines</w:t>
      </w:r>
      <w:r w:rsidRPr="00870186">
        <w:rPr>
          <w:rStyle w:val="apple-converted-space"/>
          <w:rFonts w:ascii="Arial" w:eastAsiaTheme="majorEastAsia" w:hAnsi="Arial" w:cs="Arial"/>
          <w:color w:val="000000"/>
          <w:sz w:val="20"/>
          <w:szCs w:val="20"/>
          <w:lang w:val="de-DE"/>
        </w:rPr>
        <w:t> </w:t>
      </w:r>
      <w:hyperlink r:id="rId96" w:tooltip="Land (Deutschland)" w:history="1">
        <w:r w:rsidRPr="00870186">
          <w:rPr>
            <w:rStyle w:val="Hipervnculo"/>
            <w:rFonts w:ascii="Arial" w:hAnsi="Arial" w:cs="Arial"/>
            <w:color w:val="0B0080"/>
            <w:sz w:val="20"/>
            <w:szCs w:val="20"/>
            <w:lang w:val="de-DE"/>
          </w:rPr>
          <w:t>Bundeslandes</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vorsieht. Ein Beispiel hierfür war das Land</w:t>
      </w:r>
      <w:r w:rsidR="00FC7879">
        <w:fldChar w:fldCharType="begin"/>
      </w:r>
      <w:r w:rsidR="00FF087B" w:rsidRPr="009D3E72">
        <w:rPr>
          <w:lang w:val="de-DE"/>
        </w:rPr>
        <w:instrText>HYPERLINK "http://de.wikipedia.org/wiki/Schleswig-Holstein" \o "Schleswig-Holstein"</w:instrText>
      </w:r>
      <w:r w:rsidR="00FC7879">
        <w:fldChar w:fldCharType="separate"/>
      </w:r>
      <w:r w:rsidRPr="00870186">
        <w:rPr>
          <w:rStyle w:val="Hipervnculo"/>
          <w:rFonts w:ascii="Arial" w:hAnsi="Arial" w:cs="Arial"/>
          <w:color w:val="0B0080"/>
          <w:sz w:val="20"/>
          <w:szCs w:val="20"/>
          <w:lang w:val="de-DE"/>
        </w:rPr>
        <w:t>Schleswig-Holstein</w:t>
      </w:r>
      <w:r w:rsidR="00FC7879">
        <w:fldChar w:fldCharType="end"/>
      </w:r>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(Art. 44 LVerf Schl.-H. alter Fassung), welches aber 2008 als letztes Bundesland ebenfalls ein eigenes</w:t>
      </w:r>
      <w:r w:rsidR="00FC7879">
        <w:fldChar w:fldCharType="begin"/>
      </w:r>
      <w:r w:rsidR="00FF087B" w:rsidRPr="009D3E72">
        <w:rPr>
          <w:lang w:val="de-DE"/>
        </w:rPr>
        <w:instrText>HYPERLINK "http://de.wikipedia.org/wiki/Schleswig-Holsteinisches_Landesverfassungsgericht" \o "Schleswig-Holsteinisches Landesverfassungsgericht"</w:instrText>
      </w:r>
      <w:r w:rsidR="00FC7879">
        <w:fldChar w:fldCharType="separate"/>
      </w:r>
      <w:r w:rsidRPr="00870186">
        <w:rPr>
          <w:rStyle w:val="Hipervnculo"/>
          <w:rFonts w:ascii="Arial" w:hAnsi="Arial" w:cs="Arial"/>
          <w:color w:val="0B0080"/>
          <w:sz w:val="20"/>
          <w:szCs w:val="20"/>
          <w:lang w:val="de-DE"/>
        </w:rPr>
        <w:t>Landesverfassungsgericht</w:t>
      </w:r>
      <w:r w:rsidR="00FC7879">
        <w:fldChar w:fldCharType="end"/>
      </w:r>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errichtet hat, das seitdem diese Aufgabe erfüllt.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Nicht zuständig ist das Bundesverfassungsgericht jedoch bei Streitigkeiten, die die</w:t>
      </w:r>
      <w:r w:rsidRPr="00870186">
        <w:rPr>
          <w:rStyle w:val="apple-converted-space"/>
          <w:rFonts w:ascii="Arial" w:eastAsiaTheme="majorEastAsia" w:hAnsi="Arial" w:cs="Arial"/>
          <w:color w:val="000000"/>
          <w:sz w:val="20"/>
          <w:szCs w:val="20"/>
          <w:lang w:val="de-DE"/>
        </w:rPr>
        <w:t> </w:t>
      </w:r>
      <w:hyperlink r:id="rId97" w:tooltip="Europäische Union" w:history="1">
        <w:r w:rsidRPr="00870186">
          <w:rPr>
            <w:rStyle w:val="Hipervnculo"/>
            <w:rFonts w:ascii="Arial" w:hAnsi="Arial" w:cs="Arial"/>
            <w:color w:val="0B0080"/>
            <w:sz w:val="20"/>
            <w:szCs w:val="20"/>
            <w:lang w:val="de-DE"/>
          </w:rPr>
          <w:t>Europäische Union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oder ihre Verträge berühren. In diesem Fall ist der</w:t>
      </w:r>
      <w:r w:rsidRPr="00870186">
        <w:rPr>
          <w:rStyle w:val="apple-converted-space"/>
          <w:rFonts w:ascii="Arial" w:eastAsiaTheme="majorEastAsia" w:hAnsi="Arial" w:cs="Arial"/>
          <w:color w:val="000000"/>
          <w:sz w:val="20"/>
          <w:szCs w:val="20"/>
          <w:lang w:val="de-DE"/>
        </w:rPr>
        <w:t> </w:t>
      </w:r>
      <w:hyperlink r:id="rId98" w:tooltip="Europäischer Gerichtshof" w:history="1">
        <w:r w:rsidRPr="00870186">
          <w:rPr>
            <w:rStyle w:val="Hipervnculo"/>
            <w:rFonts w:ascii="Arial" w:hAnsi="Arial" w:cs="Arial"/>
            <w:color w:val="0B0080"/>
            <w:sz w:val="20"/>
            <w:szCs w:val="20"/>
            <w:lang w:val="de-DE"/>
          </w:rPr>
          <w:t>Europäische Gerichtshof (EuGH)</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zuständig. Allerdings entscheidet das Bundesverfassungsgericht dann über Fragen im Zusammenhang mit</w:t>
      </w:r>
      <w:r w:rsidRPr="00870186">
        <w:rPr>
          <w:rStyle w:val="apple-converted-space"/>
          <w:rFonts w:ascii="Arial" w:eastAsiaTheme="majorEastAsia" w:hAnsi="Arial" w:cs="Arial"/>
          <w:color w:val="000000"/>
          <w:sz w:val="20"/>
          <w:szCs w:val="20"/>
          <w:lang w:val="de-DE"/>
        </w:rPr>
        <w:t> </w:t>
      </w:r>
      <w:hyperlink r:id="rId99" w:tooltip="Europarecht" w:history="1">
        <w:r w:rsidRPr="00870186">
          <w:rPr>
            <w:rStyle w:val="Hipervnculo"/>
            <w:rFonts w:ascii="Arial" w:hAnsi="Arial" w:cs="Arial"/>
            <w:color w:val="0B0080"/>
            <w:sz w:val="20"/>
            <w:szCs w:val="20"/>
            <w:lang w:val="de-DE"/>
          </w:rPr>
          <w:t>Europarecht</w:t>
        </w:r>
      </w:hyperlink>
      <w:r w:rsidRPr="00870186">
        <w:rPr>
          <w:rFonts w:ascii="Arial" w:hAnsi="Arial" w:cs="Arial"/>
          <w:color w:val="000000"/>
          <w:sz w:val="20"/>
          <w:szCs w:val="20"/>
          <w:lang w:val="de-DE"/>
        </w:rPr>
        <w:t>, wenn diese die Auslegung der deutschen Verfassung betreffen, wie etwa im bekannten Urteil</w:t>
      </w:r>
      <w:r w:rsidR="00FC7879">
        <w:fldChar w:fldCharType="begin"/>
      </w:r>
      <w:r w:rsidR="00FF087B" w:rsidRPr="009D3E72">
        <w:rPr>
          <w:lang w:val="de-DE"/>
        </w:rPr>
        <w:instrText>HYPERLINK "http://de.wikipedia.org/wiki/Solange_II" \o "Solange II"</w:instrText>
      </w:r>
      <w:r w:rsidR="00FC7879">
        <w:fldChar w:fldCharType="separate"/>
      </w:r>
      <w:r w:rsidRPr="00870186">
        <w:rPr>
          <w:rStyle w:val="Hipervnculo"/>
          <w:rFonts w:ascii="Arial" w:hAnsi="Arial" w:cs="Arial"/>
          <w:color w:val="0B0080"/>
          <w:sz w:val="20"/>
          <w:szCs w:val="20"/>
          <w:lang w:val="de-DE"/>
        </w:rPr>
        <w:t>Solange II</w:t>
      </w:r>
      <w:r w:rsidR="00FC7879">
        <w:fldChar w:fldCharType="end"/>
      </w:r>
      <w:r w:rsidRPr="00870186">
        <w:rPr>
          <w:rFonts w:ascii="Arial" w:hAnsi="Arial" w:cs="Arial"/>
          <w:color w:val="000000"/>
          <w:sz w:val="20"/>
          <w:szCs w:val="20"/>
          <w:lang w:val="de-DE"/>
        </w:rPr>
        <w: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Verfassungsbeschwerde</w:t>
      </w:r>
      <w:r w:rsidRPr="00870186">
        <w:rPr>
          <w:rStyle w:val="apple-converted-space"/>
          <w:rFonts w:ascii="Arial" w:hAnsi="Arial" w:cs="Arial"/>
          <w:color w:val="000000"/>
          <w:sz w:val="26"/>
          <w:szCs w:val="26"/>
          <w:lang w:val="de-DE"/>
        </w:rPr>
        <w:t> </w:t>
      </w:r>
    </w:p>
    <w:p w:rsidR="009819A5" w:rsidRPr="00247E78"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00" w:tooltip="Verfassungsbeschwerde" w:history="1">
        <w:r w:rsidRPr="00870186">
          <w:rPr>
            <w:rStyle w:val="Hipervnculo"/>
            <w:rFonts w:ascii="Arial" w:hAnsi="Arial" w:cs="Arial"/>
            <w:i/>
            <w:iCs/>
            <w:color w:val="0B0080"/>
            <w:sz w:val="20"/>
            <w:szCs w:val="20"/>
            <w:lang w:val="de-DE"/>
          </w:rPr>
          <w:t>Verfassungsbeschwerde</w:t>
        </w:r>
      </w:hyperlink>
      <w:r w:rsidR="00247E78" w:rsidRPr="00247E78">
        <w:rPr>
          <w:lang w:val="de-DE"/>
        </w:rPr>
        <w:t xml:space="preserve"> [acciones de amparo, habeas corpus etc.]</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lastRenderedPageBreak/>
        <w:t>Jeder (nach</w:t>
      </w:r>
      <w:r w:rsidRPr="00870186">
        <w:rPr>
          <w:rStyle w:val="apple-converted-space"/>
          <w:rFonts w:ascii="Arial" w:eastAsiaTheme="majorEastAsia" w:hAnsi="Arial" w:cs="Arial"/>
          <w:color w:val="000000"/>
          <w:sz w:val="20"/>
          <w:szCs w:val="20"/>
          <w:lang w:val="de-DE"/>
        </w:rPr>
        <w:t> </w:t>
      </w:r>
      <w:hyperlink r:id="rId101" w:history="1">
        <w:r w:rsidRPr="00870186">
          <w:rPr>
            <w:rStyle w:val="Hipervnculo"/>
            <w:rFonts w:ascii="Arial" w:hAnsi="Arial" w:cs="Arial"/>
            <w:color w:val="663366"/>
            <w:sz w:val="20"/>
            <w:szCs w:val="20"/>
            <w:lang w:val="de-DE"/>
          </w:rPr>
          <w:t>Art. 93</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1 Nr. 4a GG), der sich in seinen</w:t>
      </w:r>
      <w:r w:rsidRPr="00870186">
        <w:rPr>
          <w:rStyle w:val="apple-converted-space"/>
          <w:rFonts w:ascii="Arial" w:eastAsiaTheme="majorEastAsia" w:hAnsi="Arial" w:cs="Arial"/>
          <w:color w:val="000000"/>
          <w:sz w:val="20"/>
          <w:szCs w:val="20"/>
          <w:lang w:val="de-DE"/>
        </w:rPr>
        <w:t> </w:t>
      </w:r>
      <w:hyperlink r:id="rId102" w:tooltip="Grundrechte (Deutschland)" w:history="1">
        <w:r w:rsidRPr="00870186">
          <w:rPr>
            <w:rStyle w:val="Hipervnculo"/>
            <w:rFonts w:ascii="Arial" w:hAnsi="Arial" w:cs="Arial"/>
            <w:color w:val="0B0080"/>
            <w:sz w:val="20"/>
            <w:szCs w:val="20"/>
            <w:lang w:val="de-DE"/>
          </w:rPr>
          <w:t>Grundrechten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durch staatliches Handeln verletzt sieht, kann eine Verfassungsbeschwerde einreichen („Individualbeschwerde“). Unter staatlichem Handeln ist jeder Akt der öffentlichen Gewalt zu verstehen, der in Rechtspositionen des Grundrechtsträgers eingreift. Darunter fallen alle Akte der</w:t>
      </w:r>
      <w:r w:rsidRPr="00870186">
        <w:rPr>
          <w:rStyle w:val="apple-converted-space"/>
          <w:rFonts w:ascii="Arial" w:eastAsiaTheme="majorEastAsia" w:hAnsi="Arial" w:cs="Arial"/>
          <w:color w:val="000000"/>
          <w:sz w:val="20"/>
          <w:szCs w:val="20"/>
          <w:lang w:val="de-DE"/>
        </w:rPr>
        <w:t> </w:t>
      </w:r>
      <w:hyperlink r:id="rId103" w:tooltip="Exekutive" w:history="1">
        <w:r w:rsidRPr="00870186">
          <w:rPr>
            <w:rStyle w:val="Hipervnculo"/>
            <w:rFonts w:ascii="Arial" w:hAnsi="Arial" w:cs="Arial"/>
            <w:color w:val="0B0080"/>
            <w:sz w:val="20"/>
            <w:szCs w:val="20"/>
            <w:lang w:val="de-DE"/>
          </w:rPr>
          <w:t>vollziehenden Gewalt</w:t>
        </w:r>
      </w:hyperlink>
      <w:r w:rsidRPr="00870186">
        <w:rPr>
          <w:rFonts w:ascii="Arial" w:hAnsi="Arial" w:cs="Arial"/>
          <w:color w:val="000000"/>
          <w:sz w:val="20"/>
          <w:szCs w:val="20"/>
          <w:lang w:val="de-DE"/>
        </w:rPr>
        <w:t>,</w:t>
      </w:r>
      <w:r w:rsidR="00247E78">
        <w:rPr>
          <w:rFonts w:ascii="Arial" w:hAnsi="Arial" w:cs="Arial"/>
          <w:color w:val="000000"/>
          <w:sz w:val="20"/>
          <w:szCs w:val="20"/>
          <w:lang w:val="de-DE"/>
        </w:rPr>
        <w:t xml:space="preserve"> </w:t>
      </w:r>
      <w:hyperlink r:id="rId104" w:tooltip="Rechtsprechung" w:history="1">
        <w:r w:rsidRPr="00870186">
          <w:rPr>
            <w:rStyle w:val="Hipervnculo"/>
            <w:rFonts w:ascii="Arial" w:hAnsi="Arial" w:cs="Arial"/>
            <w:color w:val="0B0080"/>
            <w:sz w:val="20"/>
            <w:szCs w:val="20"/>
            <w:lang w:val="de-DE"/>
          </w:rPr>
          <w:t>Rechtsprechung</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105" w:tooltip="Gesetzgebung" w:history="1">
        <w:r w:rsidRPr="00870186">
          <w:rPr>
            <w:rStyle w:val="Hipervnculo"/>
            <w:rFonts w:ascii="Arial" w:hAnsi="Arial" w:cs="Arial"/>
            <w:color w:val="0B0080"/>
            <w:sz w:val="20"/>
            <w:szCs w:val="20"/>
            <w:lang w:val="de-DE"/>
          </w:rPr>
          <w:t>Gesetzgebung</w:t>
        </w:r>
      </w:hyperlink>
      <w:r w:rsidRPr="00870186">
        <w:rPr>
          <w:rFonts w:ascii="Arial" w:hAnsi="Arial" w:cs="Arial"/>
          <w:color w:val="000000"/>
          <w:sz w:val="20"/>
          <w:szCs w:val="20"/>
          <w:lang w:val="de-DE"/>
        </w:rPr>
        <w:t>. Nicht nur Handeln, sondern auch Unterlassen können Akte der öffentlichen Gewalt umfassen. Der sogenannte</w:t>
      </w:r>
      <w:r w:rsidRPr="00870186">
        <w:rPr>
          <w:rStyle w:val="apple-converted-space"/>
          <w:rFonts w:ascii="Arial" w:eastAsiaTheme="majorEastAsia" w:hAnsi="Arial" w:cs="Arial"/>
          <w:color w:val="000000"/>
          <w:sz w:val="20"/>
          <w:szCs w:val="20"/>
          <w:lang w:val="de-DE"/>
        </w:rPr>
        <w:t> </w:t>
      </w:r>
      <w:r w:rsidRPr="00870186">
        <w:rPr>
          <w:rFonts w:ascii="Arial" w:hAnsi="Arial" w:cs="Arial"/>
          <w:i/>
          <w:iCs/>
          <w:color w:val="000000"/>
          <w:sz w:val="20"/>
          <w:szCs w:val="20"/>
          <w:lang w:val="de-DE"/>
        </w:rPr>
        <w:t>klassische Eingriffsbegriff</w:t>
      </w:r>
      <w:r w:rsidRPr="00870186">
        <w:rPr>
          <w:rFonts w:ascii="Arial" w:hAnsi="Arial" w:cs="Arial"/>
          <w:color w:val="000000"/>
          <w:sz w:val="20"/>
          <w:szCs w:val="20"/>
          <w:lang w:val="de-DE"/>
        </w:rPr>
        <w:t>, der bis 1992 maßgeblich war, definierte darunter einen Eingriff, der</w:t>
      </w:r>
    </w:p>
    <w:p w:rsidR="009819A5" w:rsidRPr="00870186" w:rsidRDefault="009819A5" w:rsidP="009819A5">
      <w:pPr>
        <w:numPr>
          <w:ilvl w:val="0"/>
          <w:numId w:val="1"/>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final und nicht nur unbeabsichtigte Folge staatlichen Handelns ist</w:t>
      </w:r>
    </w:p>
    <w:p w:rsidR="009819A5" w:rsidRDefault="009819A5" w:rsidP="009819A5">
      <w:pPr>
        <w:numPr>
          <w:ilvl w:val="0"/>
          <w:numId w:val="1"/>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color w:val="000000"/>
          <w:sz w:val="20"/>
          <w:szCs w:val="20"/>
        </w:rPr>
        <w:t>unmittelbar</w:t>
      </w:r>
      <w:proofErr w:type="spellEnd"/>
      <w:r>
        <w:rPr>
          <w:rFonts w:ascii="Arial" w:hAnsi="Arial" w:cs="Arial"/>
          <w:color w:val="000000"/>
          <w:sz w:val="20"/>
          <w:szCs w:val="20"/>
        </w:rPr>
        <w:t xml:space="preserve"> </w:t>
      </w:r>
      <w:proofErr w:type="spellStart"/>
      <w:r>
        <w:rPr>
          <w:rFonts w:ascii="Arial" w:hAnsi="Arial" w:cs="Arial"/>
          <w:color w:val="000000"/>
          <w:sz w:val="20"/>
          <w:szCs w:val="20"/>
        </w:rPr>
        <w:t>ist</w:t>
      </w:r>
      <w:proofErr w:type="spellEnd"/>
    </w:p>
    <w:p w:rsidR="009819A5" w:rsidRPr="00870186" w:rsidRDefault="009819A5" w:rsidP="009819A5">
      <w:pPr>
        <w:numPr>
          <w:ilvl w:val="0"/>
          <w:numId w:val="1"/>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durch einen Rechtsakt mit imperativer Außenwirkung begründet ist.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moderne Eingriffsverständnis verzichtet auf die Merkmale des Rechtsaktes, der Unmittelbarkeit und der imperativen Außenwirkung und macht im Ergebnis fast jede Einwirkung des Staates überprüfbar.</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Gericht ist jedoch keine</w:t>
      </w:r>
      <w:r w:rsidRPr="00870186">
        <w:rPr>
          <w:rStyle w:val="apple-converted-space"/>
          <w:rFonts w:ascii="Arial" w:eastAsiaTheme="majorEastAsia" w:hAnsi="Arial" w:cs="Arial"/>
          <w:color w:val="000000"/>
          <w:sz w:val="20"/>
          <w:szCs w:val="20"/>
          <w:lang w:val="de-DE"/>
        </w:rPr>
        <w:t> </w:t>
      </w:r>
      <w:hyperlink r:id="rId106" w:tooltip="Superrevision" w:history="1">
        <w:r w:rsidRPr="00870186">
          <w:rPr>
            <w:rStyle w:val="Hipervnculo"/>
            <w:rFonts w:ascii="Arial" w:hAnsi="Arial" w:cs="Arial"/>
            <w:color w:val="0B0080"/>
            <w:sz w:val="20"/>
            <w:szCs w:val="20"/>
            <w:lang w:val="de-DE"/>
          </w:rPr>
          <w:t>Superrevisionsinstanz</w:t>
        </w:r>
      </w:hyperlink>
      <w:r w:rsidRPr="00870186">
        <w:rPr>
          <w:rFonts w:ascii="Arial" w:hAnsi="Arial" w:cs="Arial"/>
          <w:color w:val="000000"/>
          <w:sz w:val="20"/>
          <w:szCs w:val="20"/>
          <w:lang w:val="de-DE"/>
        </w:rPr>
        <w:t>: Eine falsche Anwendung einfacher Gesetze durch</w:t>
      </w:r>
      <w:r w:rsidRPr="00870186">
        <w:rPr>
          <w:rStyle w:val="apple-converted-space"/>
          <w:rFonts w:ascii="Arial" w:eastAsiaTheme="majorEastAsia" w:hAnsi="Arial" w:cs="Arial"/>
          <w:color w:val="000000"/>
          <w:sz w:val="20"/>
          <w:szCs w:val="20"/>
          <w:lang w:val="de-DE"/>
        </w:rPr>
        <w:t> </w:t>
      </w:r>
      <w:hyperlink r:id="rId107" w:tooltip="Fachgericht" w:history="1">
        <w:r w:rsidRPr="00870186">
          <w:rPr>
            <w:rStyle w:val="Hipervnculo"/>
            <w:rFonts w:ascii="Arial" w:hAnsi="Arial" w:cs="Arial"/>
            <w:color w:val="0B0080"/>
            <w:sz w:val="20"/>
            <w:szCs w:val="20"/>
            <w:lang w:val="de-DE"/>
          </w:rPr>
          <w:t>Fachgerichte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genügt nicht für eine zulässige Beschwerde, wenn diese Rechtspositionen nicht grundrechtlich geschützt sind. Allerdings berührt jede Verletzung einfachen Rechts das Grundrecht auf Gleichheit, wenn die betreffende Auslegung willkürlich ist.</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Es </w:t>
      </w:r>
      <w:proofErr w:type="spellStart"/>
      <w:r>
        <w:rPr>
          <w:rFonts w:ascii="Arial" w:hAnsi="Arial" w:cs="Arial"/>
          <w:color w:val="000000"/>
          <w:sz w:val="20"/>
          <w:szCs w:val="20"/>
        </w:rPr>
        <w:t>gibt</w:t>
      </w:r>
      <w:proofErr w:type="spellEnd"/>
      <w:r>
        <w:rPr>
          <w:rFonts w:ascii="Arial" w:hAnsi="Arial" w:cs="Arial"/>
          <w:color w:val="000000"/>
          <w:sz w:val="20"/>
          <w:szCs w:val="20"/>
        </w:rPr>
        <w:t xml:space="preserve"> </w:t>
      </w:r>
      <w:proofErr w:type="spellStart"/>
      <w:r>
        <w:rPr>
          <w:rFonts w:ascii="Arial" w:hAnsi="Arial" w:cs="Arial"/>
          <w:color w:val="000000"/>
          <w:sz w:val="20"/>
          <w:szCs w:val="20"/>
        </w:rPr>
        <w:t>verschiedene</w:t>
      </w:r>
      <w:proofErr w:type="spellEnd"/>
      <w:r>
        <w:rPr>
          <w:rFonts w:ascii="Arial" w:hAnsi="Arial" w:cs="Arial"/>
          <w:color w:val="000000"/>
          <w:sz w:val="20"/>
          <w:szCs w:val="20"/>
        </w:rPr>
        <w:t xml:space="preserve"> </w:t>
      </w:r>
      <w:proofErr w:type="spellStart"/>
      <w:r>
        <w:rPr>
          <w:rFonts w:ascii="Arial" w:hAnsi="Arial" w:cs="Arial"/>
          <w:color w:val="000000"/>
          <w:sz w:val="20"/>
          <w:szCs w:val="20"/>
        </w:rPr>
        <w:t>Verfassungsbeschwerden</w:t>
      </w:r>
      <w:proofErr w:type="spellEnd"/>
      <w:r>
        <w:rPr>
          <w:rFonts w:ascii="Arial" w:hAnsi="Arial" w:cs="Arial"/>
          <w:color w:val="000000"/>
          <w:sz w:val="20"/>
          <w:szCs w:val="20"/>
        </w:rPr>
        <w:t>:</w:t>
      </w:r>
    </w:p>
    <w:p w:rsidR="009819A5" w:rsidRPr="00870186"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gegen</w:t>
      </w:r>
      <w:r w:rsidRPr="00870186">
        <w:rPr>
          <w:rStyle w:val="apple-converted-space"/>
          <w:rFonts w:ascii="Arial" w:hAnsi="Arial" w:cs="Arial"/>
          <w:color w:val="000000"/>
          <w:sz w:val="20"/>
          <w:szCs w:val="20"/>
          <w:lang w:val="de-DE"/>
        </w:rPr>
        <w:t> </w:t>
      </w:r>
      <w:hyperlink r:id="rId108" w:tooltip="Gesetz" w:history="1">
        <w:r w:rsidRPr="00870186">
          <w:rPr>
            <w:rStyle w:val="Hipervnculo"/>
            <w:rFonts w:ascii="Arial" w:hAnsi="Arial" w:cs="Arial"/>
            <w:color w:val="0B0080"/>
            <w:sz w:val="20"/>
            <w:szCs w:val="20"/>
            <w:lang w:val="de-DE"/>
          </w:rPr>
          <w:t>Gesetze</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oder andere</w:t>
      </w:r>
      <w:r w:rsidRPr="00870186">
        <w:rPr>
          <w:rStyle w:val="apple-converted-space"/>
          <w:rFonts w:ascii="Arial" w:hAnsi="Arial" w:cs="Arial"/>
          <w:color w:val="000000"/>
          <w:sz w:val="20"/>
          <w:szCs w:val="20"/>
          <w:lang w:val="de-DE"/>
        </w:rPr>
        <w:t> </w:t>
      </w:r>
      <w:hyperlink r:id="rId109" w:tooltip="Rechtsnorm" w:history="1">
        <w:r w:rsidRPr="00870186">
          <w:rPr>
            <w:rStyle w:val="Hipervnculo"/>
            <w:rFonts w:ascii="Arial" w:hAnsi="Arial" w:cs="Arial"/>
            <w:color w:val="0B0080"/>
            <w:sz w:val="20"/>
            <w:szCs w:val="20"/>
            <w:lang w:val="de-DE"/>
          </w:rPr>
          <w:t>Normen</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des Bundes</w:t>
      </w:r>
    </w:p>
    <w:p w:rsidR="009819A5" w:rsidRPr="00870186"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gegen Gesetze oder andere Normen eines</w:t>
      </w:r>
      <w:r w:rsidRPr="00870186">
        <w:rPr>
          <w:rStyle w:val="apple-converted-space"/>
          <w:rFonts w:ascii="Arial" w:hAnsi="Arial" w:cs="Arial"/>
          <w:color w:val="000000"/>
          <w:sz w:val="20"/>
          <w:szCs w:val="20"/>
          <w:lang w:val="de-DE"/>
        </w:rPr>
        <w:t> </w:t>
      </w:r>
      <w:hyperlink r:id="rId110" w:tooltip="Land (Deutschland)" w:history="1">
        <w:r w:rsidRPr="00870186">
          <w:rPr>
            <w:rStyle w:val="Hipervnculo"/>
            <w:rFonts w:ascii="Arial" w:hAnsi="Arial" w:cs="Arial"/>
            <w:color w:val="0B0080"/>
            <w:sz w:val="20"/>
            <w:szCs w:val="20"/>
            <w:lang w:val="de-DE"/>
          </w:rPr>
          <w:t>Landes</w:t>
        </w:r>
      </w:hyperlink>
      <w:r w:rsidRPr="00870186">
        <w:rPr>
          <w:rFonts w:ascii="Arial" w:hAnsi="Arial" w:cs="Arial"/>
          <w:color w:val="000000"/>
          <w:sz w:val="20"/>
          <w:szCs w:val="20"/>
          <w:lang w:val="de-DE"/>
        </w:rPr>
        <w:t>, sofern kein</w:t>
      </w:r>
      <w:r w:rsidRPr="00870186">
        <w:rPr>
          <w:rStyle w:val="apple-converted-space"/>
          <w:rFonts w:ascii="Arial" w:hAnsi="Arial" w:cs="Arial"/>
          <w:color w:val="000000"/>
          <w:sz w:val="20"/>
          <w:szCs w:val="20"/>
          <w:lang w:val="de-DE"/>
        </w:rPr>
        <w:t> </w:t>
      </w:r>
      <w:hyperlink r:id="rId111" w:tooltip="Landesverfassungsgericht" w:history="1">
        <w:r w:rsidRPr="00870186">
          <w:rPr>
            <w:rStyle w:val="Hipervnculo"/>
            <w:rFonts w:ascii="Arial" w:hAnsi="Arial" w:cs="Arial"/>
            <w:color w:val="0B0080"/>
            <w:sz w:val="20"/>
            <w:szCs w:val="20"/>
            <w:lang w:val="de-DE"/>
          </w:rPr>
          <w:t>Landesverfassungsgericht</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zuständig ist</w:t>
      </w:r>
    </w:p>
    <w:p w:rsidR="009819A5"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color w:val="000000"/>
          <w:sz w:val="20"/>
          <w:szCs w:val="20"/>
        </w:rPr>
        <w:t>gegen</w:t>
      </w:r>
      <w:proofErr w:type="spellEnd"/>
      <w:r>
        <w:rPr>
          <w:rFonts w:ascii="Arial" w:hAnsi="Arial" w:cs="Arial"/>
          <w:color w:val="000000"/>
          <w:sz w:val="20"/>
          <w:szCs w:val="20"/>
        </w:rPr>
        <w:t xml:space="preserve"> </w:t>
      </w:r>
      <w:proofErr w:type="spellStart"/>
      <w:r>
        <w:rPr>
          <w:rFonts w:ascii="Arial" w:hAnsi="Arial" w:cs="Arial"/>
          <w:color w:val="000000"/>
          <w:sz w:val="20"/>
          <w:szCs w:val="20"/>
        </w:rPr>
        <w:t>eine</w:t>
      </w:r>
      <w:proofErr w:type="spellEnd"/>
      <w:r>
        <w:rPr>
          <w:rStyle w:val="apple-converted-space"/>
          <w:rFonts w:ascii="Arial" w:hAnsi="Arial" w:cs="Arial"/>
          <w:color w:val="000000"/>
          <w:sz w:val="20"/>
          <w:szCs w:val="20"/>
        </w:rPr>
        <w:t> </w:t>
      </w:r>
      <w:hyperlink r:id="rId112" w:tooltip="Behörde" w:history="1">
        <w:proofErr w:type="spellStart"/>
        <w:r>
          <w:rPr>
            <w:rStyle w:val="Hipervnculo"/>
            <w:rFonts w:ascii="Arial" w:hAnsi="Arial" w:cs="Arial"/>
            <w:color w:val="0B0080"/>
            <w:sz w:val="20"/>
            <w:szCs w:val="20"/>
          </w:rPr>
          <w:t>Behördenentscheidung</w:t>
        </w:r>
        <w:proofErr w:type="spellEnd"/>
      </w:hyperlink>
    </w:p>
    <w:p w:rsidR="009819A5"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rPr>
      </w:pPr>
      <w:proofErr w:type="spellStart"/>
      <w:r>
        <w:rPr>
          <w:rFonts w:ascii="Arial" w:hAnsi="Arial" w:cs="Arial"/>
          <w:color w:val="000000"/>
          <w:sz w:val="20"/>
          <w:szCs w:val="20"/>
        </w:rPr>
        <w:t>gegen</w:t>
      </w:r>
      <w:proofErr w:type="spellEnd"/>
      <w:r>
        <w:rPr>
          <w:rFonts w:ascii="Arial" w:hAnsi="Arial" w:cs="Arial"/>
          <w:color w:val="000000"/>
          <w:sz w:val="20"/>
          <w:szCs w:val="20"/>
        </w:rPr>
        <w:t xml:space="preserve"> </w:t>
      </w:r>
      <w:proofErr w:type="spellStart"/>
      <w:r>
        <w:rPr>
          <w:rFonts w:ascii="Arial" w:hAnsi="Arial" w:cs="Arial"/>
          <w:color w:val="000000"/>
          <w:sz w:val="20"/>
          <w:szCs w:val="20"/>
        </w:rPr>
        <w:t>eine</w:t>
      </w:r>
      <w:proofErr w:type="spellEnd"/>
      <w:r>
        <w:rPr>
          <w:rFonts w:ascii="Arial" w:hAnsi="Arial" w:cs="Arial"/>
          <w:color w:val="000000"/>
          <w:sz w:val="20"/>
          <w:szCs w:val="20"/>
        </w:rPr>
        <w:t xml:space="preserve"> </w:t>
      </w:r>
      <w:proofErr w:type="spellStart"/>
      <w:r>
        <w:rPr>
          <w:rFonts w:ascii="Arial" w:hAnsi="Arial" w:cs="Arial"/>
          <w:color w:val="000000"/>
          <w:sz w:val="20"/>
          <w:szCs w:val="20"/>
        </w:rPr>
        <w:t>Gerichtsentscheidung</w:t>
      </w:r>
      <w:proofErr w:type="spellEnd"/>
    </w:p>
    <w:p w:rsidR="009819A5" w:rsidRPr="00870186" w:rsidRDefault="009819A5" w:rsidP="009819A5">
      <w:pPr>
        <w:numPr>
          <w:ilvl w:val="0"/>
          <w:numId w:val="2"/>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gegen jedes andere staatliche oder dem Staat zuordenbare Handeln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Auch</w:t>
      </w:r>
      <w:r w:rsidRPr="00870186">
        <w:rPr>
          <w:rStyle w:val="apple-converted-space"/>
          <w:rFonts w:ascii="Arial" w:eastAsiaTheme="majorEastAsia" w:hAnsi="Arial" w:cs="Arial"/>
          <w:color w:val="000000"/>
          <w:sz w:val="20"/>
          <w:szCs w:val="20"/>
          <w:lang w:val="de-DE"/>
        </w:rPr>
        <w:t> </w:t>
      </w:r>
      <w:hyperlink r:id="rId113" w:tooltip="Juristische Person" w:history="1">
        <w:r w:rsidRPr="00870186">
          <w:rPr>
            <w:rStyle w:val="Hipervnculo"/>
            <w:rFonts w:ascii="Arial" w:hAnsi="Arial" w:cs="Arial"/>
            <w:color w:val="0B0080"/>
            <w:sz w:val="20"/>
            <w:szCs w:val="20"/>
            <w:lang w:val="de-DE"/>
          </w:rPr>
          <w:t>juristische Personen</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können Verfassungsbeschwerde erheben. Dies aber nur, sofern die Grundrechte ihrem Wesen nach auf juristische Personen Anwendung finden können (</w:t>
      </w:r>
      <w:hyperlink r:id="rId114" w:history="1">
        <w:r w:rsidRPr="00870186">
          <w:rPr>
            <w:rStyle w:val="Hipervnculo"/>
            <w:rFonts w:ascii="Arial" w:hAnsi="Arial" w:cs="Arial"/>
            <w:color w:val="663366"/>
            <w:sz w:val="20"/>
            <w:szCs w:val="20"/>
            <w:lang w:val="de-DE"/>
          </w:rPr>
          <w:t>Art. 19</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3 GG), etwa Berufsfreiheit (</w:t>
      </w:r>
      <w:hyperlink r:id="rId115" w:history="1">
        <w:r w:rsidRPr="00870186">
          <w:rPr>
            <w:rStyle w:val="Hipervnculo"/>
            <w:rFonts w:ascii="Arial" w:hAnsi="Arial" w:cs="Arial"/>
            <w:color w:val="663366"/>
            <w:sz w:val="20"/>
            <w:szCs w:val="20"/>
            <w:lang w:val="de-DE"/>
          </w:rPr>
          <w:t>Art. 12</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GG) oder Eigentum (</w:t>
      </w:r>
      <w:hyperlink r:id="rId116" w:history="1">
        <w:r w:rsidRPr="00870186">
          <w:rPr>
            <w:rStyle w:val="Hipervnculo"/>
            <w:rFonts w:ascii="Arial" w:hAnsi="Arial" w:cs="Arial"/>
            <w:color w:val="663366"/>
            <w:sz w:val="20"/>
            <w:szCs w:val="20"/>
            <w:lang w:val="de-DE"/>
          </w:rPr>
          <w:t>Art. 14</w:t>
        </w:r>
      </w:hyperlink>
      <w:r w:rsidRPr="00870186">
        <w:rPr>
          <w:rFonts w:ascii="Arial" w:hAnsi="Arial" w:cs="Arial"/>
          <w:color w:val="000000"/>
          <w:sz w:val="20"/>
          <w:szCs w:val="20"/>
          <w:lang w:val="de-DE"/>
        </w:rPr>
        <w:t>GG), nicht aber Religionsfreiheit (</w:t>
      </w:r>
      <w:hyperlink r:id="rId117" w:history="1">
        <w:r w:rsidRPr="00870186">
          <w:rPr>
            <w:rStyle w:val="Hipervnculo"/>
            <w:rFonts w:ascii="Arial" w:hAnsi="Arial" w:cs="Arial"/>
            <w:color w:val="663366"/>
            <w:sz w:val="20"/>
            <w:szCs w:val="20"/>
            <w:lang w:val="de-DE"/>
          </w:rPr>
          <w:t>Art. 4</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GG). Juristische Personen des öffentlichen Rechts sind grundsätzlich nicht beschwerdebefugt (so entschieden im</w:t>
      </w:r>
      <w:r w:rsidRPr="00870186">
        <w:rPr>
          <w:rStyle w:val="apple-converted-space"/>
          <w:rFonts w:ascii="Arial" w:eastAsiaTheme="majorEastAsia" w:hAnsi="Arial" w:cs="Arial"/>
          <w:color w:val="000000"/>
          <w:sz w:val="20"/>
          <w:szCs w:val="20"/>
          <w:lang w:val="de-DE"/>
        </w:rPr>
        <w:t> </w:t>
      </w:r>
      <w:hyperlink r:id="rId118" w:anchor="Sasbach" w:tooltip="Sasbach am Kaiserstuhl" w:history="1">
        <w:r w:rsidRPr="00870186">
          <w:rPr>
            <w:rStyle w:val="Hipervnculo"/>
            <w:rFonts w:ascii="Arial" w:hAnsi="Arial" w:cs="Arial"/>
            <w:color w:val="0B0080"/>
            <w:sz w:val="20"/>
            <w:szCs w:val="20"/>
            <w:lang w:val="de-DE"/>
          </w:rPr>
          <w:t>Sasbach-Fall</w:t>
        </w:r>
      </w:hyperlink>
      <w:r w:rsidRPr="00870186">
        <w:rPr>
          <w:rFonts w:ascii="Arial" w:hAnsi="Arial" w:cs="Arial"/>
          <w:color w:val="000000"/>
          <w:sz w:val="20"/>
          <w:szCs w:val="20"/>
          <w:lang w:val="de-DE"/>
        </w:rPr>
        <w:t>; Ausnahmen aber etwa bei der Rundfunkfreiheit (</w:t>
      </w:r>
      <w:hyperlink r:id="rId119" w:history="1">
        <w:r w:rsidRPr="00870186">
          <w:rPr>
            <w:rStyle w:val="Hipervnculo"/>
            <w:rFonts w:ascii="Arial" w:hAnsi="Arial" w:cs="Arial"/>
            <w:color w:val="663366"/>
            <w:sz w:val="20"/>
            <w:szCs w:val="20"/>
            <w:lang w:val="de-DE"/>
          </w:rPr>
          <w:t>Art. 5</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GG) möglich).</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Gemeinden und Gemeindeverbände können eine Verfassungsbeschwerde mit der Begründung einreichen, sie seien in ihrem kommunalen Selbstverwaltungsrecht verletzt. In diesem Fall spricht man von „Kommunalverfassungsbeschwerden“ – nicht zu verwechseln mit dem sogenannten</w:t>
      </w:r>
      <w:r w:rsidRPr="00870186">
        <w:rPr>
          <w:rStyle w:val="apple-converted-space"/>
          <w:rFonts w:ascii="Arial" w:eastAsiaTheme="majorEastAsia" w:hAnsi="Arial" w:cs="Arial"/>
          <w:color w:val="000000"/>
          <w:sz w:val="20"/>
          <w:szCs w:val="20"/>
          <w:lang w:val="de-DE"/>
        </w:rPr>
        <w:t> </w:t>
      </w:r>
      <w:r w:rsidRPr="00870186">
        <w:rPr>
          <w:rFonts w:ascii="Arial" w:hAnsi="Arial" w:cs="Arial"/>
          <w:i/>
          <w:iCs/>
          <w:color w:val="000000"/>
          <w:sz w:val="20"/>
          <w:szCs w:val="20"/>
          <w:lang w:val="de-DE"/>
        </w:rPr>
        <w:t>Kommunalverfassungsstreit</w:t>
      </w:r>
      <w:r w:rsidRPr="00870186">
        <w:rPr>
          <w:rFonts w:ascii="Arial" w:hAnsi="Arial" w:cs="Arial"/>
          <w:color w:val="000000"/>
          <w:sz w:val="20"/>
          <w:szCs w:val="20"/>
          <w:lang w:val="de-DE"/>
        </w:rPr>
        <w:t>, welcher ein innergemeindliches verwaltungsrechtliches Organstreitverfahren ist.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Damit die Verfassungsbeschwerde zulässig ist, darf dem Beschwerdeführer kein anderes Rechtsmittel mehr offen stehen („Subsidiaritätsprinzip“). Ausnahmen sind allenfalls dann zulässig, wenn dem Beschwerdeführer die Ausschöpfung des Rechtsweges nicht zumutbar ist und die wirksame Durchsetzung seiner Grundrechte sonst vereitelt werden würde, oder wenn die Entscheidung der Verfassungsbeschwerde von allgemeiner Bedeutung ist (</w:t>
      </w:r>
      <w:hyperlink r:id="rId120" w:history="1">
        <w:r w:rsidRPr="00870186">
          <w:rPr>
            <w:rStyle w:val="Hipervnculo"/>
            <w:rFonts w:ascii="Arial" w:hAnsi="Arial" w:cs="Arial"/>
            <w:color w:val="663366"/>
            <w:sz w:val="20"/>
            <w:szCs w:val="20"/>
            <w:lang w:val="de-DE"/>
          </w:rPr>
          <w:t>§ 90</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2 Satz 2 BVerfGG).</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Die Verfassungsbeschwerde ist die bei weitem häufigste Verfahrensart. Der größte Teil dieser Verfahren wird nicht durch die Senate, sondern durch eine Kammer entschieden, wenn sie bereits geklärte Rechtsfragen aufwerfen oder offensichtlich unbegründet oder begründet sind. Zum Teil kann das Gericht in solchen Fällen</w:t>
      </w:r>
      <w:r w:rsidRPr="00870186">
        <w:rPr>
          <w:rStyle w:val="apple-converted-space"/>
          <w:rFonts w:ascii="Arial" w:eastAsiaTheme="majorEastAsia" w:hAnsi="Arial" w:cs="Arial"/>
          <w:color w:val="000000"/>
          <w:sz w:val="20"/>
          <w:szCs w:val="20"/>
          <w:lang w:val="de-DE"/>
        </w:rPr>
        <w:t> </w:t>
      </w:r>
      <w:hyperlink r:id="rId121" w:tooltip="A limine" w:history="1">
        <w:r>
          <w:rPr>
            <w:rStyle w:val="Hipervnculo"/>
            <w:rFonts w:ascii="Arial" w:hAnsi="Arial" w:cs="Arial"/>
            <w:i/>
            <w:iCs/>
            <w:color w:val="0B0080"/>
            <w:sz w:val="20"/>
            <w:szCs w:val="20"/>
            <w:lang w:val="la-Latn"/>
          </w:rPr>
          <w:t>a limine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entscheiden.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lastRenderedPageBreak/>
        <w:t>Eine „Bearbeitungsgarantie“ gibt es bei der Verfassungsbeschwerde nicht. Nur 2,5 % aller Beschwerdeanträge werden bearbeitet. Neben der Möglichkeit einer</w:t>
      </w:r>
      <w:r w:rsidRPr="00870186">
        <w:rPr>
          <w:rStyle w:val="apple-converted-space"/>
          <w:rFonts w:ascii="Arial" w:eastAsiaTheme="majorEastAsia" w:hAnsi="Arial" w:cs="Arial"/>
          <w:color w:val="000000"/>
          <w:sz w:val="20"/>
          <w:szCs w:val="20"/>
          <w:lang w:val="de-DE"/>
        </w:rPr>
        <w:t> </w:t>
      </w:r>
      <w:r w:rsidRPr="00870186">
        <w:rPr>
          <w:rFonts w:ascii="Arial" w:hAnsi="Arial" w:cs="Arial"/>
          <w:i/>
          <w:iCs/>
          <w:color w:val="000000"/>
          <w:sz w:val="20"/>
          <w:szCs w:val="20"/>
          <w:lang w:val="de-DE"/>
        </w:rPr>
        <w:t>A-Limine</w:t>
      </w:r>
      <w:r w:rsidRPr="00870186">
        <w:rPr>
          <w:rFonts w:ascii="Arial" w:hAnsi="Arial" w:cs="Arial"/>
          <w:color w:val="000000"/>
          <w:sz w:val="20"/>
          <w:szCs w:val="20"/>
          <w:lang w:val="de-DE"/>
        </w:rPr>
        <w:t>-Abweisung wurde ab 1993 mit</w:t>
      </w:r>
      <w:r w:rsidRPr="00870186">
        <w:rPr>
          <w:rStyle w:val="apple-converted-space"/>
          <w:rFonts w:ascii="Arial" w:eastAsiaTheme="majorEastAsia" w:hAnsi="Arial" w:cs="Arial"/>
          <w:color w:val="000000"/>
          <w:sz w:val="20"/>
          <w:szCs w:val="20"/>
          <w:lang w:val="de-DE"/>
        </w:rPr>
        <w:t> </w:t>
      </w:r>
      <w:hyperlink r:id="rId122" w:history="1">
        <w:r w:rsidRPr="00870186">
          <w:rPr>
            <w:rStyle w:val="Hipervnculo"/>
            <w:rFonts w:ascii="Arial" w:hAnsi="Arial" w:cs="Arial"/>
            <w:color w:val="663366"/>
            <w:sz w:val="20"/>
            <w:szCs w:val="20"/>
            <w:lang w:val="de-DE"/>
          </w:rPr>
          <w:t>§ 93d</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BVerfGG die Möglichkeit geschaffen, Verfassungsbeschwerden ohne Begründung nicht zur Entscheidung anzunehmen. Begründet wurde dies rechtspolitisch damit, dass Begründungen richterlicher Entscheidungen nur zum Anrufen weiterer Instanzen notwendig seien. Das Gericht gehöre nicht zum Instanzenzug. Von der Möglichkeit, eine Missbrauchsgebühr für das grundsätzlich gerichtsgebührenfreie Verfahren zu erheben, machte das Gericht bislang in seiner Praxis sehr selten Gebrauch.</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Konkrete Normenkontrolle</w:t>
      </w:r>
      <w:r w:rsidRPr="00870186">
        <w:rPr>
          <w:rStyle w:val="apple-converted-space"/>
          <w:rFonts w:ascii="Arial" w:hAnsi="Arial" w:cs="Arial"/>
          <w:color w:val="000000"/>
          <w:sz w:val="26"/>
          <w:szCs w:val="26"/>
          <w:lang w:val="de-DE"/>
        </w:rPr>
        <w:t> </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23" w:tooltip="Konkrete Normenkontrolle" w:history="1">
        <w:r w:rsidRPr="00870186">
          <w:rPr>
            <w:rStyle w:val="Hipervnculo"/>
            <w:rFonts w:ascii="Arial" w:hAnsi="Arial" w:cs="Arial"/>
            <w:i/>
            <w:iCs/>
            <w:color w:val="0B0080"/>
            <w:sz w:val="20"/>
            <w:szCs w:val="20"/>
            <w:lang w:val="de-DE"/>
          </w:rPr>
          <w:t>Konkrete Normenkontrolle</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 Fachgericht, das ein bestimmtes entscheidungserhebliches Bundesgesetz für unvereinbar mit dem Grundgesetz oder ein Landesgesetz für unvereinbar mit einem Bundesgesetz hält, muss durch Beschluss das Verfahren der konkreten Normenkontrolle einleiten (Art. 100 GG). Dadurch unterbricht es das eigene Verfahren und gibt den Fall zur inzidenten Prüfung an das Verfassungsgericht ab. Nur das Verfassungsgericht kann Gesetze für verfassungswidrig erklären und verfügt exklusiv über die</w:t>
      </w:r>
      <w:hyperlink r:id="rId124" w:tooltip="Normverwerfungskompetenz" w:history="1">
        <w:r w:rsidRPr="00870186">
          <w:rPr>
            <w:rStyle w:val="Hipervnculo"/>
            <w:rFonts w:ascii="Arial" w:hAnsi="Arial" w:cs="Arial"/>
            <w:color w:val="0B0080"/>
            <w:sz w:val="20"/>
            <w:szCs w:val="20"/>
            <w:lang w:val="de-DE"/>
          </w:rPr>
          <w:t>Normverwerfungskompetenz</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im deutschen Rechtssystem (bei Unvereinbarkeit eines Gesetzes mit einer Landesverfassung ist das Gesetz dem nach</w:t>
      </w:r>
      <w:r w:rsidRPr="00870186">
        <w:rPr>
          <w:rStyle w:val="apple-converted-space"/>
          <w:rFonts w:ascii="Arial" w:eastAsiaTheme="majorEastAsia" w:hAnsi="Arial" w:cs="Arial"/>
          <w:color w:val="000000"/>
          <w:sz w:val="20"/>
          <w:szCs w:val="20"/>
          <w:lang w:val="de-DE"/>
        </w:rPr>
        <w:t> </w:t>
      </w:r>
      <w:hyperlink r:id="rId125" w:tooltip="Landesrecht" w:history="1">
        <w:r w:rsidRPr="00870186">
          <w:rPr>
            <w:rStyle w:val="Hipervnculo"/>
            <w:rFonts w:ascii="Arial" w:hAnsi="Arial" w:cs="Arial"/>
            <w:color w:val="0B0080"/>
            <w:sz w:val="20"/>
            <w:szCs w:val="20"/>
            <w:lang w:val="de-DE"/>
          </w:rPr>
          <w:t>Landesrecht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zuständigen Gericht vorzulegen).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Nicht zulässig ist eine konkrete Normenkontrolle jedoch für</w:t>
      </w:r>
      <w:r w:rsidRPr="00870186">
        <w:rPr>
          <w:rStyle w:val="apple-converted-space"/>
          <w:rFonts w:ascii="Arial" w:eastAsiaTheme="majorEastAsia" w:hAnsi="Arial" w:cs="Arial"/>
          <w:color w:val="000000"/>
          <w:sz w:val="20"/>
          <w:szCs w:val="20"/>
          <w:lang w:val="de-DE"/>
        </w:rPr>
        <w:t> </w:t>
      </w:r>
      <w:hyperlink r:id="rId126" w:tooltip="Vorkonstitutionelles Recht" w:history="1">
        <w:r w:rsidRPr="00870186">
          <w:rPr>
            <w:rStyle w:val="Hipervnculo"/>
            <w:rFonts w:ascii="Arial" w:hAnsi="Arial" w:cs="Arial"/>
            <w:color w:val="0B0080"/>
            <w:sz w:val="20"/>
            <w:szCs w:val="20"/>
            <w:lang w:val="de-DE"/>
          </w:rPr>
          <w:t>vorkonstitutionelles Recht</w:t>
        </w:r>
      </w:hyperlink>
      <w:r w:rsidRPr="00870186">
        <w:rPr>
          <w:rFonts w:ascii="Arial" w:hAnsi="Arial" w:cs="Arial"/>
          <w:color w:val="000000"/>
          <w:sz w:val="20"/>
          <w:szCs w:val="20"/>
          <w:lang w:val="de-DE"/>
        </w:rPr>
        <w:t>, also für Gesetze, die vor Inkrafttreten des Grundgesetzes verkündet worden sind. Ihre Anwendung können Fachgerichte und Behörden selbst verwerfen. Hierunter fallen jedoch nicht folgende Fälle:</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wesentliche Bestandteile des vorkonstitutionellen Gesetzes wurden nach Inkrafttreten des Grundgesetzes geändert oder</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Verweisung eines neuen Gesetzes zu einem vorkonstitutionellen Gesetz oder</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das neue Gesetz steht in einem engen sachlichen Zusammenhang zum vorkonstitutionellen Gesetz oder</w:t>
      </w:r>
    </w:p>
    <w:p w:rsidR="009819A5" w:rsidRPr="00870186" w:rsidRDefault="009819A5" w:rsidP="009819A5">
      <w:pPr>
        <w:numPr>
          <w:ilvl w:val="0"/>
          <w:numId w:val="3"/>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das vorkonstitutionelle Gesetz wurde neu verkündet.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Wenn es in einem gerichtlichen Verfahren auf die Gültigkeit einer Norm des Gemeinschaftsrechts ankommt, hat das Fachgericht zunächst die Vorabentscheidung des EuGH einzuholen. Wenn der EuGH ihre Gültigkeit bejaht, hat das deutsche Fachgericht aber gleichwohl eine Vorlage zum BVerfG als konkrete Normenkontrolle zu beschließen (entsprechende Anwendung von Art. 100 Abs. 1 GG), wenn es von der Ungültigkeit der EU-Norm</w:t>
      </w:r>
    </w:p>
    <w:p w:rsidR="009819A5" w:rsidRPr="00870186" w:rsidRDefault="009819A5" w:rsidP="009819A5">
      <w:pPr>
        <w:numPr>
          <w:ilvl w:val="0"/>
          <w:numId w:val="4"/>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wegen Verletzung des nach</w:t>
      </w:r>
      <w:r w:rsidRPr="00870186">
        <w:rPr>
          <w:rStyle w:val="apple-converted-space"/>
          <w:rFonts w:ascii="Arial" w:hAnsi="Arial" w:cs="Arial"/>
          <w:color w:val="000000"/>
          <w:sz w:val="20"/>
          <w:szCs w:val="20"/>
          <w:lang w:val="de-DE"/>
        </w:rPr>
        <w:t> </w:t>
      </w:r>
      <w:hyperlink r:id="rId127" w:history="1">
        <w:r w:rsidRPr="00870186">
          <w:rPr>
            <w:rStyle w:val="Hipervnculo"/>
            <w:rFonts w:ascii="Arial" w:hAnsi="Arial" w:cs="Arial"/>
            <w:color w:val="663366"/>
            <w:sz w:val="20"/>
            <w:szCs w:val="20"/>
            <w:lang w:val="de-DE"/>
          </w:rPr>
          <w:t>Art. 23</w:t>
        </w:r>
      </w:hyperlink>
      <w:r w:rsidRPr="00870186">
        <w:rPr>
          <w:rStyle w:val="apple-converted-space"/>
          <w:rFonts w:ascii="Arial" w:hAnsi="Arial" w:cs="Arial"/>
          <w:color w:val="000000"/>
          <w:sz w:val="20"/>
          <w:szCs w:val="20"/>
          <w:lang w:val="de-DE"/>
        </w:rPr>
        <w:t> </w:t>
      </w:r>
      <w:r w:rsidRPr="00870186">
        <w:rPr>
          <w:rFonts w:ascii="Arial" w:hAnsi="Arial" w:cs="Arial"/>
          <w:color w:val="000000"/>
          <w:sz w:val="20"/>
          <w:szCs w:val="20"/>
          <w:lang w:val="de-DE"/>
        </w:rPr>
        <w:t>Abs. 1 S. 1 GG unabdingbaren grundrechtlichen Mindeststandards oder</w:t>
      </w:r>
    </w:p>
    <w:p w:rsidR="009819A5" w:rsidRPr="00870186" w:rsidRDefault="009819A5" w:rsidP="009819A5">
      <w:pPr>
        <w:numPr>
          <w:ilvl w:val="0"/>
          <w:numId w:val="4"/>
        </w:numPr>
        <w:shd w:val="clear" w:color="auto" w:fill="FFFFFF"/>
        <w:spacing w:before="100" w:beforeAutospacing="1" w:after="24" w:line="288" w:lineRule="atLeast"/>
        <w:ind w:left="384"/>
        <w:rPr>
          <w:rFonts w:ascii="Arial" w:hAnsi="Arial" w:cs="Arial"/>
          <w:color w:val="000000"/>
          <w:sz w:val="20"/>
          <w:szCs w:val="20"/>
          <w:lang w:val="de-DE"/>
        </w:rPr>
      </w:pPr>
      <w:r w:rsidRPr="00870186">
        <w:rPr>
          <w:rFonts w:ascii="Arial" w:hAnsi="Arial" w:cs="Arial"/>
          <w:color w:val="000000"/>
          <w:sz w:val="20"/>
          <w:szCs w:val="20"/>
          <w:lang w:val="de-DE"/>
        </w:rPr>
        <w:t>wegen Überschreitung der Gemeinschaftskompetenzen (Ausbrechen aus dem „Integrationsprogramm“ der Verträge)</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überzeugt ist. → </w:t>
      </w:r>
      <w:hyperlink r:id="rId128" w:anchor="EU-Recht" w:history="1">
        <w:r w:rsidRPr="00870186">
          <w:rPr>
            <w:rStyle w:val="Hipervnculo"/>
            <w:rFonts w:ascii="Arial" w:hAnsi="Arial" w:cs="Arial"/>
            <w:color w:val="0B0080"/>
            <w:sz w:val="20"/>
            <w:szCs w:val="20"/>
            <w:lang w:val="de-DE"/>
          </w:rPr>
          <w:t>Übersicht</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129" w:tooltip="Solange I" w:history="1">
        <w:r w:rsidRPr="00870186">
          <w:rPr>
            <w:rStyle w:val="Hipervnculo"/>
            <w:rFonts w:ascii="Arial" w:hAnsi="Arial" w:cs="Arial"/>
            <w:color w:val="0B0080"/>
            <w:sz w:val="20"/>
            <w:szCs w:val="20"/>
            <w:lang w:val="de-DE"/>
          </w:rPr>
          <w:t>Solange I</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130" w:tooltip="Solange II" w:history="1">
        <w:r w:rsidRPr="00870186">
          <w:rPr>
            <w:rStyle w:val="Hipervnculo"/>
            <w:rFonts w:ascii="Arial" w:hAnsi="Arial" w:cs="Arial"/>
            <w:color w:val="0B0080"/>
            <w:sz w:val="20"/>
            <w:szCs w:val="20"/>
            <w:lang w:val="de-DE"/>
          </w:rPr>
          <w:t>Solange II</w:t>
        </w:r>
      </w:hyperlink>
      <w:r w:rsidRPr="00870186">
        <w:rPr>
          <w:rFonts w:ascii="Arial" w:hAnsi="Arial" w:cs="Arial"/>
          <w:color w:val="000000"/>
          <w:sz w:val="20"/>
          <w:szCs w:val="20"/>
          <w:lang w:val="de-DE"/>
        </w:rPr>
        <w:t>,</w:t>
      </w:r>
      <w:r w:rsidRPr="00870186">
        <w:rPr>
          <w:rStyle w:val="apple-converted-space"/>
          <w:rFonts w:ascii="Arial" w:eastAsiaTheme="majorEastAsia" w:hAnsi="Arial" w:cs="Arial"/>
          <w:color w:val="000000"/>
          <w:sz w:val="20"/>
          <w:szCs w:val="20"/>
          <w:lang w:val="de-DE"/>
        </w:rPr>
        <w:t> </w:t>
      </w:r>
      <w:hyperlink r:id="rId131" w:tooltip="Maastricht-Urteil" w:history="1">
        <w:r w:rsidRPr="00870186">
          <w:rPr>
            <w:rStyle w:val="Hipervnculo"/>
            <w:rFonts w:ascii="Arial" w:hAnsi="Arial" w:cs="Arial"/>
            <w:color w:val="0B0080"/>
            <w:sz w:val="20"/>
            <w:szCs w:val="20"/>
            <w:lang w:val="de-DE"/>
          </w:rPr>
          <w:t>Maastricht-Urteil</w:t>
        </w:r>
      </w:hyperlink>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Abstrakte Normenkontrolle</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32" w:tooltip="Abschnitt bearbeiten: Abstrakte Normenkontrolle"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BVerfG wird auf Antrag der</w:t>
      </w:r>
      <w:r w:rsidRPr="00870186">
        <w:rPr>
          <w:rStyle w:val="apple-converted-space"/>
          <w:rFonts w:ascii="Arial" w:eastAsiaTheme="majorEastAsia" w:hAnsi="Arial" w:cs="Arial"/>
          <w:color w:val="000000"/>
          <w:sz w:val="20"/>
          <w:szCs w:val="20"/>
          <w:lang w:val="de-DE"/>
        </w:rPr>
        <w:t> </w:t>
      </w:r>
      <w:hyperlink r:id="rId133" w:tooltip="Bundesregierung (Deutschland)" w:history="1">
        <w:r w:rsidRPr="00870186">
          <w:rPr>
            <w:rStyle w:val="Hipervnculo"/>
            <w:rFonts w:ascii="Arial" w:hAnsi="Arial" w:cs="Arial"/>
            <w:color w:val="0B0080"/>
            <w:sz w:val="20"/>
            <w:szCs w:val="20"/>
            <w:lang w:val="de-DE"/>
          </w:rPr>
          <w:t>Bundesregierung</w:t>
        </w:r>
      </w:hyperlink>
      <w:r w:rsidRPr="00870186">
        <w:rPr>
          <w:rFonts w:ascii="Arial" w:hAnsi="Arial" w:cs="Arial"/>
          <w:color w:val="000000"/>
          <w:sz w:val="20"/>
          <w:szCs w:val="20"/>
          <w:lang w:val="de-DE"/>
        </w:rPr>
        <w:t>, einer</w:t>
      </w:r>
      <w:r w:rsidRPr="00870186">
        <w:rPr>
          <w:rStyle w:val="apple-converted-space"/>
          <w:rFonts w:ascii="Arial" w:eastAsiaTheme="majorEastAsia" w:hAnsi="Arial" w:cs="Arial"/>
          <w:color w:val="000000"/>
          <w:sz w:val="20"/>
          <w:szCs w:val="20"/>
          <w:lang w:val="de-DE"/>
        </w:rPr>
        <w:t> </w:t>
      </w:r>
      <w:hyperlink r:id="rId134" w:tooltip="Landesregierung (Deutschland)" w:history="1">
        <w:r w:rsidRPr="00870186">
          <w:rPr>
            <w:rStyle w:val="Hipervnculo"/>
            <w:rFonts w:ascii="Arial" w:hAnsi="Arial" w:cs="Arial"/>
            <w:color w:val="0B0080"/>
            <w:sz w:val="20"/>
            <w:szCs w:val="20"/>
            <w:lang w:val="de-DE"/>
          </w:rPr>
          <w:t>Landesregierung</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oder mindestens eines Viertels der Mitglieder des Bundestags tätig. Die</w:t>
      </w:r>
      <w:r w:rsidRPr="00870186">
        <w:rPr>
          <w:rStyle w:val="apple-converted-space"/>
          <w:rFonts w:ascii="Arial" w:eastAsiaTheme="majorEastAsia" w:hAnsi="Arial" w:cs="Arial"/>
          <w:color w:val="000000"/>
          <w:sz w:val="20"/>
          <w:szCs w:val="20"/>
          <w:lang w:val="de-DE"/>
        </w:rPr>
        <w:t> </w:t>
      </w:r>
      <w:hyperlink r:id="rId135" w:tooltip="Abstrakte Normenkontrolle" w:history="1">
        <w:r w:rsidRPr="00870186">
          <w:rPr>
            <w:rStyle w:val="Hipervnculo"/>
            <w:rFonts w:ascii="Arial" w:hAnsi="Arial" w:cs="Arial"/>
            <w:color w:val="0B0080"/>
            <w:sz w:val="20"/>
            <w:szCs w:val="20"/>
            <w:lang w:val="de-DE"/>
          </w:rPr>
          <w:t>abstrakte Normenkontrolle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ermöglicht somit der Opposition, die Verfassungsmäßigkeit eines von der die Regierung stützenden Mehrheit beschlossenen Gesetzes oder völkerrechtlichen Vertrags prüfen zu lassen.</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lastRenderedPageBreak/>
        <w:t>Organstreit</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36" w:tooltip="Abschnitt bearbeiten: Organstreit"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w:t>
      </w:r>
      <w:r w:rsidRPr="00870186">
        <w:rPr>
          <w:rStyle w:val="apple-converted-space"/>
          <w:rFonts w:ascii="Arial" w:eastAsiaTheme="majorEastAsia" w:hAnsi="Arial" w:cs="Arial"/>
          <w:color w:val="000000"/>
          <w:sz w:val="20"/>
          <w:szCs w:val="20"/>
          <w:lang w:val="de-DE"/>
        </w:rPr>
        <w:t> </w:t>
      </w:r>
      <w:hyperlink r:id="rId137" w:tooltip="Organstreit" w:history="1">
        <w:r w:rsidRPr="00870186">
          <w:rPr>
            <w:rStyle w:val="Hipervnculo"/>
            <w:rFonts w:ascii="Arial" w:hAnsi="Arial" w:cs="Arial"/>
            <w:color w:val="0B0080"/>
            <w:sz w:val="20"/>
            <w:szCs w:val="20"/>
            <w:lang w:val="de-DE"/>
          </w:rPr>
          <w:t>Organstreit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ist ein Rechtsstreit zwischen staatlichen Organen (und mit eigenen Rechten ausgestatteter Teile dieser Organe) über Rechte und Pflichten, die sich aus ihrem besonderen verfassungsrechtlichen Status ergeben, namentlich aus der Verfassung oder aus ihrer in Selbstverwaltung gegebenen Geschäftsordnung oder Satzung.</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Bund-Länder-Streit</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38" w:tooltip="Abschnitt bearbeiten: Bund-Länder-Streit"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 Bund-Länder-Streit wird bei einer Differenz zwischen Bund und Ländern über Rechte und Pflichten aus der Verfassung, beispielsweise in Fragen der Gesetzgebungskompetenz angestrengt.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Kompetenz-Surrogation bei konkurrierender Gesetzgebung</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39" w:tooltip="Abschnitt bearbeiten: Kompetenz-Surrogation bei konkurrierender Gesetzgebung"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Eine komplexe Variante des Bund-Länder-Streits ist das Verfahren nach</w:t>
      </w:r>
      <w:r w:rsidRPr="00870186">
        <w:rPr>
          <w:rStyle w:val="apple-converted-space"/>
          <w:rFonts w:ascii="Arial" w:eastAsiaTheme="majorEastAsia" w:hAnsi="Arial" w:cs="Arial"/>
          <w:color w:val="000000"/>
          <w:sz w:val="20"/>
          <w:szCs w:val="20"/>
          <w:lang w:val="de-DE"/>
        </w:rPr>
        <w:t> </w:t>
      </w:r>
      <w:hyperlink r:id="rId140" w:history="1">
        <w:r w:rsidRPr="00870186">
          <w:rPr>
            <w:rStyle w:val="Hipervnculo"/>
            <w:rFonts w:ascii="Arial" w:hAnsi="Arial" w:cs="Arial"/>
            <w:color w:val="663366"/>
            <w:sz w:val="20"/>
            <w:szCs w:val="20"/>
            <w:lang w:val="de-DE"/>
          </w:rPr>
          <w:t>Art. 93</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2 GG. Es handelt sich hierbei um eine Feststellungsklage mit dem Ziel, die gesetzgeberische Ersetzungsbefugnis von Bundesländern nach</w:t>
      </w:r>
      <w:r w:rsidRPr="00870186">
        <w:rPr>
          <w:rStyle w:val="apple-converted-space"/>
          <w:rFonts w:ascii="Arial" w:eastAsiaTheme="majorEastAsia" w:hAnsi="Arial" w:cs="Arial"/>
          <w:color w:val="000000"/>
          <w:sz w:val="20"/>
          <w:szCs w:val="20"/>
          <w:lang w:val="de-DE"/>
        </w:rPr>
        <w:t> </w:t>
      </w:r>
      <w:hyperlink r:id="rId141" w:history="1">
        <w:r w:rsidRPr="00870186">
          <w:rPr>
            <w:rStyle w:val="Hipervnculo"/>
            <w:rFonts w:ascii="Arial" w:hAnsi="Arial" w:cs="Arial"/>
            <w:color w:val="663366"/>
            <w:sz w:val="20"/>
            <w:szCs w:val="20"/>
            <w:lang w:val="de-DE"/>
          </w:rPr>
          <w:t>Art. 72</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Abs. 2 GG festzustellen, wenn der Bund hierbei nicht kooperiert.</w:t>
      </w:r>
    </w:p>
    <w:p w:rsidR="009819A5" w:rsidRPr="00870186" w:rsidRDefault="009819A5" w:rsidP="009819A5">
      <w:pPr>
        <w:pStyle w:val="Ttulo4"/>
        <w:shd w:val="clear" w:color="auto" w:fill="FFFFFF"/>
        <w:spacing w:before="0" w:after="72" w:line="288" w:lineRule="atLeast"/>
        <w:rPr>
          <w:rFonts w:ascii="Arial" w:hAnsi="Arial" w:cs="Arial"/>
          <w:color w:val="000000"/>
          <w:sz w:val="23"/>
          <w:szCs w:val="23"/>
          <w:lang w:val="de-DE"/>
        </w:rPr>
      </w:pPr>
      <w:r w:rsidRPr="00870186">
        <w:rPr>
          <w:rStyle w:val="mw-headline"/>
          <w:rFonts w:ascii="Arial" w:hAnsi="Arial" w:cs="Arial"/>
          <w:color w:val="000000"/>
          <w:sz w:val="23"/>
          <w:szCs w:val="23"/>
          <w:lang w:val="de-DE"/>
        </w:rPr>
        <w:t>Formelle Anforderungen</w:t>
      </w:r>
      <w:r w:rsidRPr="00870186">
        <w:rPr>
          <w:rStyle w:val="apple-converted-space"/>
          <w:rFonts w:ascii="Arial" w:hAnsi="Arial" w:cs="Arial"/>
          <w:color w:val="000000"/>
          <w:sz w:val="23"/>
          <w:szCs w:val="23"/>
          <w:lang w:val="de-DE"/>
        </w:rPr>
        <w:t> </w:t>
      </w:r>
      <w:r w:rsidRPr="00870186">
        <w:rPr>
          <w:rStyle w:val="editsection"/>
          <w:rFonts w:ascii="Arial" w:hAnsi="Arial" w:cs="Arial"/>
          <w:b w:val="0"/>
          <w:bCs w:val="0"/>
          <w:color w:val="000000"/>
          <w:sz w:val="20"/>
          <w:szCs w:val="20"/>
          <w:lang w:val="de-DE"/>
        </w:rPr>
        <w:t>[</w:t>
      </w:r>
      <w:hyperlink r:id="rId142" w:tooltip="Abschnitt bearbeiten: Formelle Anforderung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Ausgestaltet ist das Verfahren ähnlich einer Feststellungsklage, jedoch ohne besondere</w:t>
      </w:r>
      <w:r w:rsidRPr="00870186">
        <w:rPr>
          <w:rStyle w:val="apple-converted-space"/>
          <w:rFonts w:ascii="Arial" w:eastAsiaTheme="majorEastAsia" w:hAnsi="Arial" w:cs="Arial"/>
          <w:color w:val="000000"/>
          <w:sz w:val="20"/>
          <w:szCs w:val="20"/>
          <w:lang w:val="de-DE"/>
        </w:rPr>
        <w:t> </w:t>
      </w:r>
      <w:hyperlink r:id="rId143" w:tooltip="Subsidiarität" w:history="1">
        <w:r w:rsidRPr="00870186">
          <w:rPr>
            <w:rStyle w:val="Hipervnculo"/>
            <w:rFonts w:ascii="Arial" w:hAnsi="Arial" w:cs="Arial"/>
            <w:color w:val="0B0080"/>
            <w:sz w:val="20"/>
            <w:szCs w:val="20"/>
            <w:lang w:val="de-DE"/>
          </w:rPr>
          <w:t>Subsidiaritätserfordernisse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hinsichtlich anderer Verfahren. Im Gegenteil, diese Verfahrensart ist vorrangig im Verhältnis zum Bund-Länder-Streit, da sie die speziellere ist.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Antragsberechtigt sind Inhaber des landesgesetzgeberischen Initiativrechts (Landesregierung oder Volksvertretung eines Landes) und der Bundesrat.</w:t>
      </w:r>
    </w:p>
    <w:p w:rsidR="009819A5" w:rsidRPr="00870186" w:rsidRDefault="009819A5" w:rsidP="009819A5">
      <w:pPr>
        <w:pStyle w:val="Ttulo4"/>
        <w:shd w:val="clear" w:color="auto" w:fill="FFFFFF"/>
        <w:spacing w:before="0" w:after="72" w:line="288" w:lineRule="atLeast"/>
        <w:rPr>
          <w:rFonts w:ascii="Arial" w:hAnsi="Arial" w:cs="Arial"/>
          <w:color w:val="000000"/>
          <w:sz w:val="23"/>
          <w:szCs w:val="23"/>
          <w:lang w:val="de-DE"/>
        </w:rPr>
      </w:pPr>
      <w:r w:rsidRPr="00870186">
        <w:rPr>
          <w:rStyle w:val="mw-headline"/>
          <w:rFonts w:ascii="Arial" w:hAnsi="Arial" w:cs="Arial"/>
          <w:color w:val="000000"/>
          <w:sz w:val="23"/>
          <w:szCs w:val="23"/>
          <w:lang w:val="de-DE"/>
        </w:rPr>
        <w:t>Materielle Anforderungen</w:t>
      </w:r>
      <w:r w:rsidRPr="00870186">
        <w:rPr>
          <w:rStyle w:val="apple-converted-space"/>
          <w:rFonts w:ascii="Arial" w:hAnsi="Arial" w:cs="Arial"/>
          <w:color w:val="000000"/>
          <w:sz w:val="23"/>
          <w:szCs w:val="23"/>
          <w:lang w:val="de-DE"/>
        </w:rPr>
        <w:t> </w:t>
      </w:r>
      <w:r w:rsidRPr="00870186">
        <w:rPr>
          <w:rStyle w:val="editsection"/>
          <w:rFonts w:ascii="Arial" w:hAnsi="Arial" w:cs="Arial"/>
          <w:b w:val="0"/>
          <w:bCs w:val="0"/>
          <w:color w:val="000000"/>
          <w:sz w:val="20"/>
          <w:szCs w:val="20"/>
          <w:lang w:val="de-DE"/>
        </w:rPr>
        <w:t>[</w:t>
      </w:r>
      <w:hyperlink r:id="rId144" w:tooltip="Abschnitt bearbeiten: Materielle Anforderung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Ziel des Verfahrens ähnelt dem</w:t>
      </w:r>
      <w:r w:rsidRPr="00870186">
        <w:rPr>
          <w:rStyle w:val="apple-converted-space"/>
          <w:rFonts w:ascii="Arial" w:eastAsiaTheme="majorEastAsia" w:hAnsi="Arial" w:cs="Arial"/>
          <w:color w:val="000000"/>
          <w:sz w:val="20"/>
          <w:szCs w:val="20"/>
          <w:lang w:val="de-DE"/>
        </w:rPr>
        <w:t> </w:t>
      </w:r>
      <w:hyperlink r:id="rId145" w:history="1">
        <w:r w:rsidRPr="00870186">
          <w:rPr>
            <w:rStyle w:val="Hipervnculo"/>
            <w:rFonts w:ascii="Arial" w:hAnsi="Arial" w:cs="Arial"/>
            <w:color w:val="663366"/>
            <w:sz w:val="20"/>
            <w:szCs w:val="20"/>
            <w:lang w:val="de-DE"/>
          </w:rPr>
          <w:t>§ 894</w:t>
        </w:r>
      </w:hyperlink>
      <w:r w:rsidRPr="00870186">
        <w:rPr>
          <w:rStyle w:val="apple-converted-space"/>
          <w:rFonts w:ascii="Arial" w:eastAsiaTheme="majorEastAsia" w:hAnsi="Arial" w:cs="Arial"/>
          <w:color w:val="000000"/>
          <w:sz w:val="20"/>
          <w:szCs w:val="20"/>
          <w:lang w:val="de-DE"/>
        </w:rPr>
        <w:t> </w:t>
      </w:r>
      <w:hyperlink r:id="rId146" w:tooltip="Zivilprozessordnung (Deutschland)" w:history="1">
        <w:r w:rsidRPr="00870186">
          <w:rPr>
            <w:rStyle w:val="Hipervnculo"/>
            <w:rFonts w:ascii="Arial" w:hAnsi="Arial" w:cs="Arial"/>
            <w:color w:val="0B0080"/>
            <w:sz w:val="20"/>
            <w:szCs w:val="20"/>
            <w:lang w:val="de-DE"/>
          </w:rPr>
          <w:t>ZPO</w:t>
        </w:r>
      </w:hyperlink>
      <w:r w:rsidRPr="00870186">
        <w:rPr>
          <w:rFonts w:ascii="Arial" w:hAnsi="Arial" w:cs="Arial"/>
          <w:color w:val="000000"/>
          <w:sz w:val="20"/>
          <w:szCs w:val="20"/>
          <w:lang w:val="de-DE"/>
        </w:rPr>
        <w:t>, also ein</w:t>
      </w:r>
      <w:r w:rsidRPr="00870186">
        <w:rPr>
          <w:rStyle w:val="apple-converted-space"/>
          <w:rFonts w:ascii="Arial" w:eastAsiaTheme="majorEastAsia" w:hAnsi="Arial" w:cs="Arial"/>
          <w:color w:val="000000"/>
          <w:sz w:val="20"/>
          <w:szCs w:val="20"/>
          <w:lang w:val="de-DE"/>
        </w:rPr>
        <w:t> </w:t>
      </w:r>
      <w:hyperlink r:id="rId147" w:tooltip="Surrogation" w:history="1">
        <w:r w:rsidRPr="00870186">
          <w:rPr>
            <w:rStyle w:val="Hipervnculo"/>
            <w:rFonts w:ascii="Arial" w:hAnsi="Arial" w:cs="Arial"/>
            <w:color w:val="0B0080"/>
            <w:sz w:val="20"/>
            <w:szCs w:val="20"/>
            <w:lang w:val="de-DE"/>
          </w:rPr>
          <w:t>Surrogat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für die fehlende</w:t>
      </w:r>
      <w:r w:rsidRPr="00870186">
        <w:rPr>
          <w:rStyle w:val="apple-converted-space"/>
          <w:rFonts w:ascii="Arial" w:eastAsiaTheme="majorEastAsia" w:hAnsi="Arial" w:cs="Arial"/>
          <w:color w:val="000000"/>
          <w:sz w:val="20"/>
          <w:szCs w:val="20"/>
          <w:lang w:val="de-DE"/>
        </w:rPr>
        <w:t> </w:t>
      </w:r>
      <w:hyperlink r:id="rId148" w:tooltip="Willenserklärung" w:history="1">
        <w:r w:rsidRPr="00870186">
          <w:rPr>
            <w:rStyle w:val="Hipervnculo"/>
            <w:rFonts w:ascii="Arial" w:hAnsi="Arial" w:cs="Arial"/>
            <w:color w:val="0B0080"/>
            <w:sz w:val="20"/>
            <w:szCs w:val="20"/>
            <w:lang w:val="de-DE"/>
          </w:rPr>
          <w:t>Willenserklärung</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des Bundes in Gesetzesform zu erwirken:</w:t>
      </w:r>
    </w:p>
    <w:p w:rsidR="009819A5" w:rsidRPr="00870186" w:rsidRDefault="00FC7879"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hyperlink r:id="rId149" w:history="1">
        <w:r w:rsidR="009819A5" w:rsidRPr="00870186">
          <w:rPr>
            <w:rStyle w:val="Hipervnculo"/>
            <w:rFonts w:ascii="Arial" w:hAnsi="Arial" w:cs="Arial"/>
            <w:color w:val="663366"/>
            <w:sz w:val="20"/>
            <w:szCs w:val="20"/>
            <w:lang w:val="de-DE"/>
          </w:rPr>
          <w:t>Art. 74</w:t>
        </w:r>
      </w:hyperlink>
      <w:r w:rsidR="009819A5" w:rsidRPr="00870186">
        <w:rPr>
          <w:rStyle w:val="apple-converted-space"/>
          <w:rFonts w:ascii="Arial" w:eastAsiaTheme="majorEastAsia" w:hAnsi="Arial" w:cs="Arial"/>
          <w:color w:val="000000"/>
          <w:sz w:val="20"/>
          <w:szCs w:val="20"/>
          <w:lang w:val="de-DE"/>
        </w:rPr>
        <w:t> </w:t>
      </w:r>
      <w:r w:rsidR="009819A5" w:rsidRPr="00870186">
        <w:rPr>
          <w:rFonts w:ascii="Arial" w:hAnsi="Arial" w:cs="Arial"/>
          <w:color w:val="000000"/>
          <w:sz w:val="20"/>
          <w:szCs w:val="20"/>
          <w:lang w:val="de-DE"/>
        </w:rPr>
        <w:t>GG bestimmt die Bereiche für</w:t>
      </w:r>
      <w:r w:rsidR="009819A5" w:rsidRPr="00870186">
        <w:rPr>
          <w:rStyle w:val="apple-converted-space"/>
          <w:rFonts w:ascii="Arial" w:eastAsiaTheme="majorEastAsia" w:hAnsi="Arial" w:cs="Arial"/>
          <w:color w:val="000000"/>
          <w:sz w:val="20"/>
          <w:szCs w:val="20"/>
          <w:lang w:val="de-DE"/>
        </w:rPr>
        <w:t> </w:t>
      </w:r>
      <w:hyperlink r:id="rId150" w:tooltip="Konkurrierende Gesetzgebung" w:history="1">
        <w:r w:rsidR="009819A5" w:rsidRPr="00870186">
          <w:rPr>
            <w:rStyle w:val="Hipervnculo"/>
            <w:rFonts w:ascii="Arial" w:hAnsi="Arial" w:cs="Arial"/>
            <w:color w:val="0B0080"/>
            <w:sz w:val="20"/>
            <w:szCs w:val="20"/>
            <w:lang w:val="de-DE"/>
          </w:rPr>
          <w:t>konkurrierende Gesetzgebung</w:t>
        </w:r>
      </w:hyperlink>
      <w:r w:rsidR="009819A5" w:rsidRPr="00870186">
        <w:rPr>
          <w:rStyle w:val="apple-converted-space"/>
          <w:rFonts w:ascii="Arial" w:eastAsiaTheme="majorEastAsia" w:hAnsi="Arial" w:cs="Arial"/>
          <w:color w:val="000000"/>
          <w:sz w:val="20"/>
          <w:szCs w:val="20"/>
          <w:lang w:val="de-DE"/>
        </w:rPr>
        <w:t> </w:t>
      </w:r>
      <w:r w:rsidR="009819A5" w:rsidRPr="00870186">
        <w:rPr>
          <w:rFonts w:ascii="Arial" w:hAnsi="Arial" w:cs="Arial"/>
          <w:color w:val="000000"/>
          <w:sz w:val="20"/>
          <w:szCs w:val="20"/>
          <w:lang w:val="de-DE"/>
        </w:rPr>
        <w:t>des Bundes. Manche davon sind jedoch mit dem Vorbehalt der Ersatzbefugnis zugunsten der Länder versehen, wenn eine Bundesgesetzgebung nicht erforderlich ist (Art. 72 Abs. 2 GG) oder den Kontinuitätsanforderungen nicht genügt, weiterhin als Bundesrecht erlassen werden zu können (</w:t>
      </w:r>
      <w:hyperlink r:id="rId151" w:history="1">
        <w:r w:rsidR="009819A5" w:rsidRPr="00870186">
          <w:rPr>
            <w:rStyle w:val="Hipervnculo"/>
            <w:rFonts w:ascii="Arial" w:hAnsi="Arial" w:cs="Arial"/>
            <w:color w:val="663366"/>
            <w:sz w:val="20"/>
            <w:szCs w:val="20"/>
            <w:lang w:val="de-DE"/>
          </w:rPr>
          <w:t>Art. 125a</w:t>
        </w:r>
      </w:hyperlink>
      <w:r w:rsidR="009819A5" w:rsidRPr="00870186">
        <w:rPr>
          <w:rStyle w:val="apple-converted-space"/>
          <w:rFonts w:ascii="Arial" w:eastAsiaTheme="majorEastAsia" w:hAnsi="Arial" w:cs="Arial"/>
          <w:color w:val="000000"/>
          <w:sz w:val="20"/>
          <w:szCs w:val="20"/>
          <w:lang w:val="de-DE"/>
        </w:rPr>
        <w:t> </w:t>
      </w:r>
      <w:r w:rsidR="009819A5" w:rsidRPr="00870186">
        <w:rPr>
          <w:rFonts w:ascii="Arial" w:hAnsi="Arial" w:cs="Arial"/>
          <w:color w:val="000000"/>
          <w:sz w:val="20"/>
          <w:szCs w:val="20"/>
          <w:lang w:val="de-DE"/>
        </w:rPr>
        <w:t>Abs. 2 GG).</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Sie ist erforderlich, wenn und soweit die Herstellung gleichwertiger Lebensverhältnisse im Bundesgebiet oder die Wahrung der Rechts- oder Wirtschaftseinheit im gesamtstaatlichen Interesse eine bundesgesetzliche Regelung gebieten.</w:t>
      </w:r>
      <w:hyperlink r:id="rId152" w:anchor="cite_note-26" w:history="1">
        <w:r w:rsidRPr="00870186">
          <w:rPr>
            <w:rStyle w:val="Hipervnculo"/>
            <w:rFonts w:ascii="Arial" w:hAnsi="Arial" w:cs="Arial"/>
            <w:color w:val="0B0080"/>
            <w:sz w:val="20"/>
            <w:szCs w:val="20"/>
            <w:vertAlign w:val="superscript"/>
            <w:lang w:val="de-DE"/>
          </w:rPr>
          <w:t>[26]</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Besteht dieses Erfordernis nicht mehr, kann der Bund dies in einem Gesetz feststellen und Rechtssicherheit für Ersatzgesetze durch die Länder schaffen. Dies hat deklaratorische Wirkung für die Ersetzungsbefugnis – Art. 72 Abs. 3 GG. Tut er dies nicht und herrscht Streit über die Ersetzungsbefugnis der Landesgesetzgeber, kann auf Feststellung geklagt werden.</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Die Feststellung ist ein Surrogat für eine deklaratorische Bundesregelung; sie hat Gesetzeskraft. Es handelt sich also um ein Kompetenz-Surrogat für das</w:t>
      </w:r>
      <w:r w:rsidRPr="00870186">
        <w:rPr>
          <w:rStyle w:val="apple-converted-space"/>
          <w:rFonts w:ascii="Arial" w:eastAsiaTheme="majorEastAsia" w:hAnsi="Arial" w:cs="Arial"/>
          <w:color w:val="000000"/>
          <w:sz w:val="20"/>
          <w:szCs w:val="20"/>
          <w:lang w:val="de-DE"/>
        </w:rPr>
        <w:t> </w:t>
      </w:r>
      <w:hyperlink r:id="rId153" w:tooltip="Surrogation" w:history="1">
        <w:r w:rsidRPr="00870186">
          <w:rPr>
            <w:rStyle w:val="Hipervnculo"/>
            <w:rFonts w:ascii="Arial" w:hAnsi="Arial" w:cs="Arial"/>
            <w:color w:val="0B0080"/>
            <w:sz w:val="20"/>
            <w:szCs w:val="20"/>
            <w:lang w:val="de-DE"/>
          </w:rPr>
          <w:t>Surrogationsrecht</w:t>
        </w:r>
      </w:hyperlink>
      <w:r w:rsidRPr="00870186">
        <w:rPr>
          <w:rFonts w:ascii="Arial" w:hAnsi="Arial" w:cs="Arial"/>
          <w:color w:val="000000"/>
          <w:sz w:val="20"/>
          <w:szCs w:val="20"/>
          <w:lang w:val="de-DE"/>
        </w:rPr>
        <w: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Parteiverbot</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54" w:tooltip="Abschnitt bearbeiten: Parteiverbot"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55" w:tooltip="Parteiverbotsverfahren" w:history="1">
        <w:r w:rsidRPr="00870186">
          <w:rPr>
            <w:rStyle w:val="Hipervnculo"/>
            <w:rFonts w:ascii="Arial" w:hAnsi="Arial" w:cs="Arial"/>
            <w:i/>
            <w:iCs/>
            <w:color w:val="0B0080"/>
            <w:sz w:val="20"/>
            <w:szCs w:val="20"/>
            <w:lang w:val="de-DE"/>
          </w:rPr>
          <w:t>Parteiverbotsverfahren</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Parteiverbote sind Verfahren nach Artikel 21 Abs. 2 GG, §§ 13 Nr. 2, 43 ff. BVerfGG. Antragsberechtigt sind Bundestag, Bundesrat und die Bundesregierung. Bisher wurden 1952 die</w:t>
      </w:r>
      <w:r w:rsidRPr="00870186">
        <w:rPr>
          <w:rStyle w:val="apple-converted-space"/>
          <w:rFonts w:ascii="Arial" w:eastAsiaTheme="majorEastAsia" w:hAnsi="Arial" w:cs="Arial"/>
          <w:color w:val="000000"/>
          <w:sz w:val="20"/>
          <w:szCs w:val="20"/>
          <w:lang w:val="de-DE"/>
        </w:rPr>
        <w:t> </w:t>
      </w:r>
      <w:hyperlink r:id="rId156" w:tooltip="Sozialistische Reichspartei" w:history="1">
        <w:r w:rsidRPr="00870186">
          <w:rPr>
            <w:rStyle w:val="Hipervnculo"/>
            <w:rFonts w:ascii="Arial" w:hAnsi="Arial" w:cs="Arial"/>
            <w:color w:val="0B0080"/>
            <w:sz w:val="20"/>
            <w:szCs w:val="20"/>
            <w:lang w:val="de-DE"/>
          </w:rPr>
          <w:t>SRP</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(Sozialistische Reichspartei) und 1956 die</w:t>
      </w:r>
      <w:r w:rsidRPr="00870186">
        <w:rPr>
          <w:rStyle w:val="apple-converted-space"/>
          <w:rFonts w:ascii="Arial" w:eastAsiaTheme="majorEastAsia" w:hAnsi="Arial" w:cs="Arial"/>
          <w:color w:val="000000"/>
          <w:sz w:val="20"/>
          <w:szCs w:val="20"/>
          <w:lang w:val="de-DE"/>
        </w:rPr>
        <w:t> </w:t>
      </w:r>
      <w:hyperlink r:id="rId157" w:tooltip="KPD-Verbot" w:history="1">
        <w:r w:rsidRPr="00870186">
          <w:rPr>
            <w:rStyle w:val="Hipervnculo"/>
            <w:rFonts w:ascii="Arial" w:hAnsi="Arial" w:cs="Arial"/>
            <w:color w:val="0B0080"/>
            <w:sz w:val="20"/>
            <w:szCs w:val="20"/>
            <w:lang w:val="de-DE"/>
          </w:rPr>
          <w:t>KPD verboten</w:t>
        </w:r>
      </w:hyperlink>
      <w:r w:rsidRPr="00870186">
        <w:rPr>
          <w:rFonts w:ascii="Arial" w:hAnsi="Arial" w:cs="Arial"/>
          <w:color w:val="000000"/>
          <w:sz w:val="20"/>
          <w:szCs w:val="20"/>
          <w:lang w:val="de-DE"/>
        </w:rPr>
        <w:t>. Ein Verbotsverfahren gegen die</w:t>
      </w:r>
      <w:r w:rsidRPr="00870186">
        <w:rPr>
          <w:rStyle w:val="apple-converted-space"/>
          <w:rFonts w:ascii="Arial" w:eastAsiaTheme="majorEastAsia" w:hAnsi="Arial" w:cs="Arial"/>
          <w:color w:val="000000"/>
          <w:sz w:val="20"/>
          <w:szCs w:val="20"/>
          <w:lang w:val="de-DE"/>
        </w:rPr>
        <w:t> </w:t>
      </w:r>
      <w:hyperlink r:id="rId158" w:tooltip="Nationaldemokratische Partei Deutschlands" w:history="1">
        <w:r w:rsidRPr="00870186">
          <w:rPr>
            <w:rStyle w:val="Hipervnculo"/>
            <w:rFonts w:ascii="Arial" w:hAnsi="Arial" w:cs="Arial"/>
            <w:color w:val="0B0080"/>
            <w:sz w:val="20"/>
            <w:szCs w:val="20"/>
            <w:lang w:val="de-DE"/>
          </w:rPr>
          <w:t>NPD</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ist vom Gericht 2003 aus Verfahrensgründen</w:t>
      </w:r>
      <w:r w:rsidRPr="00870186">
        <w:rPr>
          <w:rStyle w:val="apple-converted-space"/>
          <w:rFonts w:ascii="Arial" w:eastAsiaTheme="majorEastAsia" w:hAnsi="Arial" w:cs="Arial"/>
          <w:color w:val="000000"/>
          <w:sz w:val="20"/>
          <w:szCs w:val="20"/>
          <w:lang w:val="de-DE"/>
        </w:rPr>
        <w:t> </w:t>
      </w:r>
      <w:hyperlink r:id="rId159" w:tooltip="NPD-Verbotsverfahren (2001–2003)" w:history="1">
        <w:r w:rsidRPr="00870186">
          <w:rPr>
            <w:rStyle w:val="Hipervnculo"/>
            <w:rFonts w:ascii="Arial" w:hAnsi="Arial" w:cs="Arial"/>
            <w:color w:val="0B0080"/>
            <w:sz w:val="20"/>
            <w:szCs w:val="20"/>
            <w:lang w:val="de-DE"/>
          </w:rPr>
          <w:t>eingestellt worden</w:t>
        </w:r>
      </w:hyperlink>
      <w:r w:rsidRPr="00870186">
        <w:rPr>
          <w:rFonts w:ascii="Arial" w:hAnsi="Arial" w:cs="Arial"/>
          <w:color w:val="000000"/>
          <w:sz w:val="20"/>
          <w:szCs w:val="20"/>
          <w:lang w:val="de-DE"/>
        </w:rPr>
        <w:t>.</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Verwirkung von Grundrechten</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60" w:tooltip="Abschnitt bearbeiten: Verwirkung von Grundrecht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61" w:tooltip="Grundrechtsverwirkung" w:history="1">
        <w:r w:rsidRPr="00870186">
          <w:rPr>
            <w:rStyle w:val="Hipervnculo"/>
            <w:rFonts w:ascii="Arial" w:hAnsi="Arial" w:cs="Arial"/>
            <w:i/>
            <w:iCs/>
            <w:color w:val="0B0080"/>
            <w:sz w:val="20"/>
            <w:szCs w:val="20"/>
            <w:lang w:val="de-DE"/>
          </w:rPr>
          <w:t>Grundrechtsverwirkung</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lastRenderedPageBreak/>
        <w:t>Antragsberechtigt sind der Bundestag, eine Landesregierung oder die Bundesregierung. In der Geschichte des Gerichts waren vier Verfahren anhängig.</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Klärung des Parteienstatus</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62" w:tooltip="Abschnitt bearbeiten: Klärung des Parteienstatus"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Bundesverfassungsgericht entscheidet nach Artikel 93 Abs. 1 Nr. 4c GG auch über Beschwerden von Vereinigungen gegen ihre Nichtanerkennung als</w:t>
      </w:r>
      <w:r w:rsidRPr="00870186">
        <w:rPr>
          <w:rStyle w:val="apple-converted-space"/>
          <w:rFonts w:ascii="Arial" w:eastAsiaTheme="majorEastAsia" w:hAnsi="Arial" w:cs="Arial"/>
          <w:color w:val="000000"/>
          <w:sz w:val="20"/>
          <w:szCs w:val="20"/>
          <w:lang w:val="de-DE"/>
        </w:rPr>
        <w:t> </w:t>
      </w:r>
      <w:hyperlink r:id="rId163" w:tooltip="Politische Partei" w:history="1">
        <w:r w:rsidRPr="00870186">
          <w:rPr>
            <w:rStyle w:val="Hipervnculo"/>
            <w:rFonts w:ascii="Arial" w:hAnsi="Arial" w:cs="Arial"/>
            <w:color w:val="0B0080"/>
            <w:sz w:val="20"/>
            <w:szCs w:val="20"/>
            <w:lang w:val="de-DE"/>
          </w:rPr>
          <w:t>politische Partei</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zur Bundestagswahl durch den</w:t>
      </w:r>
      <w:r w:rsidRPr="00870186">
        <w:rPr>
          <w:rStyle w:val="apple-converted-space"/>
          <w:rFonts w:ascii="Arial" w:eastAsiaTheme="majorEastAsia" w:hAnsi="Arial" w:cs="Arial"/>
          <w:color w:val="000000"/>
          <w:sz w:val="20"/>
          <w:szCs w:val="20"/>
          <w:lang w:val="de-DE"/>
        </w:rPr>
        <w:t> </w:t>
      </w:r>
      <w:hyperlink r:id="rId164" w:tooltip="Bundeswahlausschuss" w:history="1">
        <w:r w:rsidRPr="00870186">
          <w:rPr>
            <w:rStyle w:val="Hipervnculo"/>
            <w:rFonts w:ascii="Arial" w:hAnsi="Arial" w:cs="Arial"/>
            <w:color w:val="0B0080"/>
            <w:sz w:val="20"/>
            <w:szCs w:val="20"/>
            <w:lang w:val="de-DE"/>
          </w:rPr>
          <w:t>Bundeswahlausschuss</w:t>
        </w:r>
      </w:hyperlink>
      <w:r w:rsidRPr="00870186">
        <w:rPr>
          <w:rFonts w:ascii="Arial" w:hAnsi="Arial" w:cs="Arial"/>
          <w:color w:val="000000"/>
          <w:sz w:val="20"/>
          <w:szCs w:val="20"/>
          <w:lang w:val="de-DE"/>
        </w:rPr>
        <w:t>.</w:t>
      </w:r>
    </w:p>
    <w:p w:rsidR="009819A5" w:rsidRPr="009819A5" w:rsidRDefault="009819A5" w:rsidP="009819A5">
      <w:pPr>
        <w:pStyle w:val="Ttulo3"/>
        <w:shd w:val="clear" w:color="auto" w:fill="FFFFFF"/>
        <w:spacing w:before="0" w:after="72" w:line="288" w:lineRule="atLeast"/>
        <w:rPr>
          <w:rFonts w:ascii="Arial" w:hAnsi="Arial" w:cs="Arial"/>
          <w:color w:val="000000"/>
          <w:sz w:val="26"/>
          <w:szCs w:val="26"/>
          <w:lang w:val="de-DE"/>
        </w:rPr>
      </w:pPr>
      <w:r w:rsidRPr="009819A5">
        <w:rPr>
          <w:rStyle w:val="mw-headline"/>
          <w:rFonts w:ascii="Arial" w:hAnsi="Arial" w:cs="Arial"/>
          <w:color w:val="000000"/>
          <w:lang w:val="de-DE"/>
        </w:rPr>
        <w:t>Wahlprüfung</w:t>
      </w:r>
      <w:r w:rsidRPr="009819A5">
        <w:rPr>
          <w:rStyle w:val="apple-converted-space"/>
          <w:rFonts w:ascii="Arial" w:hAnsi="Arial" w:cs="Arial"/>
          <w:color w:val="000000"/>
          <w:sz w:val="26"/>
          <w:szCs w:val="26"/>
          <w:lang w:val="de-DE"/>
        </w:rPr>
        <w:t> </w:t>
      </w:r>
      <w:r w:rsidRPr="009819A5">
        <w:rPr>
          <w:rStyle w:val="editsection"/>
          <w:rFonts w:ascii="Arial" w:hAnsi="Arial" w:cs="Arial"/>
          <w:b w:val="0"/>
          <w:bCs w:val="0"/>
          <w:color w:val="000000"/>
          <w:sz w:val="20"/>
          <w:szCs w:val="20"/>
          <w:lang w:val="de-DE"/>
        </w:rPr>
        <w:t>[</w:t>
      </w:r>
      <w:hyperlink r:id="rId165" w:tooltip="Abschnitt bearbeiten: Wahlprüfung" w:history="1">
        <w:r w:rsidRPr="009819A5">
          <w:rPr>
            <w:rStyle w:val="Hipervnculo"/>
            <w:rFonts w:ascii="Arial" w:hAnsi="Arial" w:cs="Arial"/>
            <w:b w:val="0"/>
            <w:bCs w:val="0"/>
            <w:color w:val="0B0080"/>
            <w:sz w:val="20"/>
            <w:szCs w:val="20"/>
            <w:lang w:val="de-DE"/>
          </w:rPr>
          <w:t>Bearbeiten</w:t>
        </w:r>
      </w:hyperlink>
      <w:r w:rsidRPr="009819A5">
        <w:rPr>
          <w:rStyle w:val="editsection"/>
          <w:rFonts w:ascii="Arial" w:hAnsi="Arial" w:cs="Arial"/>
          <w:b w:val="0"/>
          <w:bCs w:val="0"/>
          <w:color w:val="000000"/>
          <w:sz w:val="20"/>
          <w:szCs w:val="20"/>
          <w:lang w:val="de-DE"/>
        </w:rPr>
        <w:t>]</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Das Gericht ist die zweite und letzte Instanz bei Einsprüchen gegen die Gültigkeit der</w:t>
      </w:r>
      <w:r w:rsidRPr="00870186">
        <w:rPr>
          <w:rStyle w:val="apple-converted-space"/>
          <w:rFonts w:ascii="Arial" w:eastAsiaTheme="majorEastAsia" w:hAnsi="Arial" w:cs="Arial"/>
          <w:color w:val="000000"/>
          <w:sz w:val="20"/>
          <w:szCs w:val="20"/>
          <w:lang w:val="de-DE"/>
        </w:rPr>
        <w:t> </w:t>
      </w:r>
      <w:hyperlink r:id="rId166" w:tooltip="Bundestagswahl" w:history="1">
        <w:r w:rsidRPr="00870186">
          <w:rPr>
            <w:rStyle w:val="Hipervnculo"/>
            <w:rFonts w:ascii="Arial" w:hAnsi="Arial" w:cs="Arial"/>
            <w:color w:val="0B0080"/>
            <w:sz w:val="20"/>
            <w:szCs w:val="20"/>
            <w:lang w:val="de-DE"/>
          </w:rPr>
          <w:t>Bundestags-</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und</w:t>
      </w:r>
      <w:r w:rsidRPr="00870186">
        <w:rPr>
          <w:rStyle w:val="apple-converted-space"/>
          <w:rFonts w:ascii="Arial" w:eastAsiaTheme="majorEastAsia" w:hAnsi="Arial" w:cs="Arial"/>
          <w:color w:val="000000"/>
          <w:sz w:val="20"/>
          <w:szCs w:val="20"/>
          <w:lang w:val="de-DE"/>
        </w:rPr>
        <w:t> </w:t>
      </w:r>
      <w:hyperlink r:id="rId167" w:tooltip="Europawahl" w:history="1">
        <w:r w:rsidRPr="00870186">
          <w:rPr>
            <w:rStyle w:val="Hipervnculo"/>
            <w:rFonts w:ascii="Arial" w:hAnsi="Arial" w:cs="Arial"/>
            <w:color w:val="0B0080"/>
            <w:sz w:val="20"/>
            <w:szCs w:val="20"/>
            <w:lang w:val="de-DE"/>
          </w:rPr>
          <w:t>Europawahl</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(Wahl der Abgeordneten des Europäischen Parlaments aus der Bundesrepublik Deutschland). Die erste Instanz ist, als selbst verwaltetes Organ, der Bundestag selbst. Eine</w:t>
      </w:r>
      <w:r w:rsidRPr="00870186">
        <w:rPr>
          <w:rStyle w:val="apple-converted-space"/>
          <w:rFonts w:ascii="Arial" w:eastAsiaTheme="majorEastAsia" w:hAnsi="Arial" w:cs="Arial"/>
          <w:color w:val="000000"/>
          <w:sz w:val="20"/>
          <w:szCs w:val="20"/>
          <w:lang w:val="de-DE"/>
        </w:rPr>
        <w:t> </w:t>
      </w:r>
      <w:hyperlink r:id="rId168" w:tooltip="Wahlprüfungsbeschwerde" w:history="1">
        <w:r w:rsidRPr="00870186">
          <w:rPr>
            <w:rStyle w:val="Hipervnculo"/>
            <w:rFonts w:ascii="Arial" w:hAnsi="Arial" w:cs="Arial"/>
            <w:color w:val="0B0080"/>
            <w:sz w:val="20"/>
            <w:szCs w:val="20"/>
            <w:lang w:val="de-DE"/>
          </w:rPr>
          <w:t>Wahlprüfungsbeschwerde</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können Mitglieder des Bundestages, der Bundesrat, die Bundesregierung oder ein</w:t>
      </w:r>
      <w:r w:rsidRPr="00870186">
        <w:rPr>
          <w:rStyle w:val="apple-converted-space"/>
          <w:rFonts w:ascii="Arial" w:eastAsiaTheme="majorEastAsia" w:hAnsi="Arial" w:cs="Arial"/>
          <w:color w:val="000000"/>
          <w:sz w:val="20"/>
          <w:szCs w:val="20"/>
          <w:lang w:val="de-DE"/>
        </w:rPr>
        <w:t> </w:t>
      </w:r>
      <w:hyperlink r:id="rId169" w:tooltip="Quorum (Politik)" w:history="1">
        <w:r w:rsidRPr="00870186">
          <w:rPr>
            <w:rStyle w:val="Hipervnculo"/>
            <w:rFonts w:ascii="Arial" w:hAnsi="Arial" w:cs="Arial"/>
            <w:color w:val="0B0080"/>
            <w:sz w:val="20"/>
            <w:szCs w:val="20"/>
            <w:lang w:val="de-DE"/>
          </w:rPr>
          <w:t>Quorum</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von mindestens 101 wahlberechtigten Bürgern erheben. Es müsste hierzu durch Handeln oder Unterlassen während der Wahl ein Fehler aufgetreten sein, der sich auf die Sitzverteilung im Bundestag beziehungsweise im</w:t>
      </w:r>
      <w:r w:rsidRPr="00870186">
        <w:rPr>
          <w:rStyle w:val="apple-converted-space"/>
          <w:rFonts w:ascii="Arial" w:eastAsiaTheme="majorEastAsia" w:hAnsi="Arial" w:cs="Arial"/>
          <w:color w:val="000000"/>
          <w:sz w:val="20"/>
          <w:szCs w:val="20"/>
          <w:lang w:val="de-DE"/>
        </w:rPr>
        <w:t> </w:t>
      </w:r>
      <w:hyperlink r:id="rId170" w:tooltip="Europaparlament" w:history="1">
        <w:r w:rsidRPr="00870186">
          <w:rPr>
            <w:rStyle w:val="Hipervnculo"/>
            <w:rFonts w:ascii="Arial" w:hAnsi="Arial" w:cs="Arial"/>
            <w:color w:val="0B0080"/>
            <w:sz w:val="20"/>
            <w:szCs w:val="20"/>
            <w:lang w:val="de-DE"/>
          </w:rPr>
          <w:t>Europaparlament</w:t>
        </w:r>
      </w:hyperlink>
      <w:r w:rsidRPr="00870186">
        <w:rPr>
          <w:rStyle w:val="apple-converted-space"/>
          <w:rFonts w:ascii="Arial" w:eastAsiaTheme="majorEastAsia" w:hAnsi="Arial" w:cs="Arial"/>
          <w:color w:val="000000"/>
          <w:sz w:val="20"/>
          <w:szCs w:val="20"/>
          <w:lang w:val="de-DE"/>
        </w:rPr>
        <w:t> </w:t>
      </w:r>
      <w:r w:rsidRPr="00870186">
        <w:rPr>
          <w:rFonts w:ascii="Arial" w:hAnsi="Arial" w:cs="Arial"/>
          <w:color w:val="000000"/>
          <w:sz w:val="20"/>
          <w:szCs w:val="20"/>
          <w:lang w:val="de-DE"/>
        </w:rPr>
        <w:t>auswirkte.</w:t>
      </w:r>
    </w:p>
    <w:p w:rsidR="009819A5" w:rsidRPr="00870186" w:rsidRDefault="009819A5" w:rsidP="009819A5">
      <w:pPr>
        <w:pStyle w:val="Ttulo3"/>
        <w:shd w:val="clear" w:color="auto" w:fill="FFFFFF"/>
        <w:spacing w:before="0" w:after="72" w:line="288" w:lineRule="atLeast"/>
        <w:rPr>
          <w:rFonts w:ascii="Arial" w:hAnsi="Arial" w:cs="Arial"/>
          <w:color w:val="000000"/>
          <w:sz w:val="26"/>
          <w:szCs w:val="26"/>
          <w:lang w:val="de-DE"/>
        </w:rPr>
      </w:pPr>
      <w:r w:rsidRPr="00870186">
        <w:rPr>
          <w:rStyle w:val="mw-headline"/>
          <w:rFonts w:ascii="Arial" w:hAnsi="Arial" w:cs="Arial"/>
          <w:color w:val="000000"/>
          <w:lang w:val="de-DE"/>
        </w:rPr>
        <w:t>Anklagen gegen den Bundespräsidenten</w:t>
      </w:r>
      <w:r w:rsidRPr="00870186">
        <w:rPr>
          <w:rStyle w:val="apple-converted-space"/>
          <w:rFonts w:ascii="Arial" w:hAnsi="Arial" w:cs="Arial"/>
          <w:color w:val="000000"/>
          <w:sz w:val="26"/>
          <w:szCs w:val="26"/>
          <w:lang w:val="de-DE"/>
        </w:rPr>
        <w:t> </w:t>
      </w:r>
      <w:r w:rsidRPr="00870186">
        <w:rPr>
          <w:rStyle w:val="editsection"/>
          <w:rFonts w:ascii="Arial" w:hAnsi="Arial" w:cs="Arial"/>
          <w:b w:val="0"/>
          <w:bCs w:val="0"/>
          <w:color w:val="000000"/>
          <w:sz w:val="20"/>
          <w:szCs w:val="20"/>
          <w:lang w:val="de-DE"/>
        </w:rPr>
        <w:t>[</w:t>
      </w:r>
      <w:hyperlink r:id="rId171" w:tooltip="Abschnitt bearbeiten: Anklagen gegen den Bundespräsidenten" w:history="1">
        <w:r w:rsidRPr="00870186">
          <w:rPr>
            <w:rStyle w:val="Hipervnculo"/>
            <w:rFonts w:ascii="Arial" w:hAnsi="Arial" w:cs="Arial"/>
            <w:b w:val="0"/>
            <w:bCs w:val="0"/>
            <w:color w:val="0B0080"/>
            <w:sz w:val="20"/>
            <w:szCs w:val="20"/>
            <w:lang w:val="de-DE"/>
          </w:rPr>
          <w:t>Bearbeiten</w:t>
        </w:r>
      </w:hyperlink>
      <w:r w:rsidRPr="00870186">
        <w:rPr>
          <w:rStyle w:val="editsection"/>
          <w:rFonts w:ascii="Arial" w:hAnsi="Arial" w:cs="Arial"/>
          <w:b w:val="0"/>
          <w:bCs w:val="0"/>
          <w:color w:val="000000"/>
          <w:sz w:val="20"/>
          <w:szCs w:val="20"/>
          <w:lang w:val="de-DE"/>
        </w:rPr>
        <w:t>]</w:t>
      </w:r>
    </w:p>
    <w:p w:rsidR="009819A5" w:rsidRPr="00870186" w:rsidRDefault="009819A5" w:rsidP="009819A5">
      <w:pPr>
        <w:shd w:val="clear" w:color="auto" w:fill="FFFFFF"/>
        <w:spacing w:line="288" w:lineRule="atLeast"/>
        <w:rPr>
          <w:rFonts w:ascii="Arial" w:hAnsi="Arial" w:cs="Arial"/>
          <w:color w:val="000000"/>
          <w:sz w:val="20"/>
          <w:szCs w:val="20"/>
          <w:lang w:val="de-DE"/>
        </w:rPr>
      </w:pPr>
      <w:r w:rsidRPr="00870186">
        <w:rPr>
          <w:rStyle w:val="hauptartikel-pfeil"/>
          <w:rFonts w:ascii="Arial" w:hAnsi="Arial" w:cs="Arial"/>
          <w:color w:val="000000"/>
          <w:sz w:val="20"/>
          <w:szCs w:val="20"/>
          <w:lang w:val="de-DE"/>
        </w:rPr>
        <w:t>→</w:t>
      </w:r>
      <w:r w:rsidRPr="00870186">
        <w:rPr>
          <w:rStyle w:val="apple-converted-space"/>
          <w:rFonts w:ascii="Arial" w:hAnsi="Arial" w:cs="Arial"/>
          <w:color w:val="000000"/>
          <w:sz w:val="20"/>
          <w:szCs w:val="20"/>
          <w:lang w:val="de-DE"/>
        </w:rPr>
        <w:t> </w:t>
      </w:r>
      <w:r w:rsidRPr="00870186">
        <w:rPr>
          <w:rStyle w:val="hauptartikel-text"/>
          <w:rFonts w:ascii="Arial" w:hAnsi="Arial" w:cs="Arial"/>
          <w:i/>
          <w:iCs/>
          <w:color w:val="000000"/>
          <w:sz w:val="20"/>
          <w:szCs w:val="20"/>
          <w:lang w:val="de-DE"/>
        </w:rPr>
        <w:t>Hauptartikel</w:t>
      </w:r>
      <w:r w:rsidRPr="00870186">
        <w:rPr>
          <w:rFonts w:ascii="Arial" w:hAnsi="Arial" w:cs="Arial"/>
          <w:i/>
          <w:iCs/>
          <w:color w:val="000000"/>
          <w:sz w:val="20"/>
          <w:szCs w:val="20"/>
          <w:lang w:val="de-DE"/>
        </w:rPr>
        <w:t>:</w:t>
      </w:r>
      <w:r w:rsidRPr="00870186">
        <w:rPr>
          <w:rStyle w:val="apple-converted-space"/>
          <w:rFonts w:ascii="Arial" w:hAnsi="Arial" w:cs="Arial"/>
          <w:i/>
          <w:iCs/>
          <w:color w:val="000000"/>
          <w:sz w:val="20"/>
          <w:szCs w:val="20"/>
          <w:lang w:val="de-DE"/>
        </w:rPr>
        <w:t> </w:t>
      </w:r>
      <w:hyperlink r:id="rId172" w:tooltip="Präsidentenanklage" w:history="1">
        <w:r w:rsidRPr="00870186">
          <w:rPr>
            <w:rStyle w:val="Hipervnculo"/>
            <w:rFonts w:ascii="Arial" w:hAnsi="Arial" w:cs="Arial"/>
            <w:i/>
            <w:iCs/>
            <w:color w:val="0B0080"/>
            <w:sz w:val="20"/>
            <w:szCs w:val="20"/>
            <w:lang w:val="de-DE"/>
          </w:rPr>
          <w:t>Präsidentenanklage</w:t>
        </w:r>
      </w:hyperlink>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70186">
        <w:rPr>
          <w:rFonts w:ascii="Arial" w:hAnsi="Arial" w:cs="Arial"/>
          <w:color w:val="000000"/>
          <w:sz w:val="20"/>
          <w:szCs w:val="20"/>
          <w:lang w:val="de-DE"/>
        </w:rPr>
        <w:t>Antragsberechtigt sind Bundestag und Bundesrat. Eine solche Anklage ist noch nie vorgekommen.</w:t>
      </w:r>
    </w:p>
    <w:p w:rsidR="009819A5"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Pr="00870186" w:rsidRDefault="009819A5" w:rsidP="009819A5">
      <w:pPr>
        <w:pStyle w:val="Ttulo3"/>
        <w:shd w:val="clear" w:color="auto" w:fill="FFFFFF"/>
        <w:spacing w:before="0" w:after="72" w:line="288" w:lineRule="atLeast"/>
        <w:rPr>
          <w:rFonts w:ascii="Arial" w:hAnsi="Arial" w:cs="Arial"/>
          <w:color w:val="365F91" w:themeColor="accent1" w:themeShade="BF"/>
          <w:sz w:val="24"/>
          <w:szCs w:val="24"/>
          <w:lang w:val="de-DE"/>
        </w:rPr>
      </w:pPr>
      <w:r w:rsidRPr="00870186">
        <w:rPr>
          <w:rStyle w:val="mw-headline"/>
          <w:rFonts w:ascii="Arial" w:hAnsi="Arial" w:cs="Arial"/>
          <w:color w:val="365F91" w:themeColor="accent1" w:themeShade="BF"/>
          <w:sz w:val="24"/>
          <w:szCs w:val="24"/>
          <w:lang w:val="de-DE"/>
        </w:rPr>
        <w:t>Plenarentscheidungen</w:t>
      </w:r>
      <w:r w:rsidRPr="00870186">
        <w:rPr>
          <w:rStyle w:val="apple-converted-space"/>
          <w:rFonts w:ascii="Arial" w:hAnsi="Arial" w:cs="Arial"/>
          <w:color w:val="365F91" w:themeColor="accent1" w:themeShade="BF"/>
          <w:sz w:val="24"/>
          <w:szCs w:val="24"/>
          <w:lang w:val="de-DE"/>
        </w:rPr>
        <w:t> </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r w:rsidRPr="00870186">
        <w:rPr>
          <w:rFonts w:ascii="Arial" w:hAnsi="Arial" w:cs="Arial"/>
          <w:color w:val="365F91" w:themeColor="accent1" w:themeShade="BF"/>
          <w:lang w:val="de-DE"/>
        </w:rPr>
        <w:t>Plenarentscheidungen nach</w:t>
      </w:r>
      <w:r w:rsidRPr="00870186">
        <w:rPr>
          <w:rStyle w:val="apple-converted-space"/>
          <w:rFonts w:ascii="Arial" w:eastAsiaTheme="majorEastAsia" w:hAnsi="Arial" w:cs="Arial"/>
          <w:color w:val="365F91" w:themeColor="accent1" w:themeShade="BF"/>
          <w:lang w:val="de-DE"/>
        </w:rPr>
        <w:t> </w:t>
      </w:r>
      <w:hyperlink r:id="rId173" w:history="1">
        <w:r w:rsidRPr="00870186">
          <w:rPr>
            <w:rStyle w:val="Hipervnculo"/>
            <w:rFonts w:ascii="Arial" w:hAnsi="Arial" w:cs="Arial"/>
            <w:color w:val="365F91" w:themeColor="accent1" w:themeShade="BF"/>
            <w:lang w:val="de-DE"/>
          </w:rPr>
          <w:t>§ 16</w:t>
        </w:r>
      </w:hyperlink>
      <w:r w:rsidRPr="00870186">
        <w:rPr>
          <w:rStyle w:val="apple-converted-space"/>
          <w:rFonts w:ascii="Arial" w:eastAsiaTheme="majorEastAsia" w:hAnsi="Arial" w:cs="Arial"/>
          <w:color w:val="365F91" w:themeColor="accent1" w:themeShade="BF"/>
          <w:lang w:val="de-DE"/>
        </w:rPr>
        <w:t> </w:t>
      </w:r>
      <w:r w:rsidRPr="00870186">
        <w:rPr>
          <w:rFonts w:ascii="Arial" w:hAnsi="Arial" w:cs="Arial"/>
          <w:color w:val="365F91" w:themeColor="accent1" w:themeShade="BF"/>
          <w:lang w:val="de-DE"/>
        </w:rPr>
        <w:t>BVerfGG sind nötig, wenn ein Senat in einer Rechtsfrage von der in einer Entscheidung des anderen Senats enthaltenen Rechtsauffassung abweichen will.</w:t>
      </w:r>
    </w:p>
    <w:p w:rsidR="009819A5" w:rsidRPr="008701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rPr>
      </w:pPr>
      <w:r w:rsidRPr="00870186">
        <w:rPr>
          <w:rFonts w:ascii="Arial" w:hAnsi="Arial" w:cs="Arial"/>
          <w:color w:val="365F91" w:themeColor="accent1" w:themeShade="BF"/>
          <w:lang w:val="de-DE"/>
        </w:rPr>
        <w:t>Dies war etwa der Fall bei der Frage der Klagebefugnis politischer Parteien im Organstreitverfahren.</w:t>
      </w:r>
      <w:hyperlink r:id="rId174" w:anchor="cite_note-30" w:history="1">
        <w:r w:rsidRPr="00870186">
          <w:rPr>
            <w:rStyle w:val="Hipervnculo"/>
            <w:rFonts w:ascii="Arial" w:hAnsi="Arial" w:cs="Arial"/>
            <w:color w:val="365F91" w:themeColor="accent1" w:themeShade="BF"/>
            <w:vertAlign w:val="superscript"/>
            <w:lang w:val="de-DE"/>
          </w:rPr>
          <w:t>[30]</w:t>
        </w:r>
      </w:hyperlink>
      <w:r w:rsidRPr="00870186">
        <w:rPr>
          <w:rStyle w:val="apple-converted-space"/>
          <w:rFonts w:ascii="Arial" w:eastAsiaTheme="majorEastAsia" w:hAnsi="Arial" w:cs="Arial"/>
          <w:color w:val="365F91" w:themeColor="accent1" w:themeShade="BF"/>
          <w:lang w:val="de-DE"/>
        </w:rPr>
        <w:t> </w:t>
      </w:r>
      <w:r w:rsidRPr="00870186">
        <w:rPr>
          <w:rFonts w:ascii="Arial" w:hAnsi="Arial" w:cs="Arial"/>
          <w:color w:val="365F91" w:themeColor="accent1" w:themeShade="BF"/>
          <w:lang w:val="de-DE"/>
        </w:rPr>
        <w:t>Im August 2012 entschied das Bundesverfassungsgericht in der fünften Plenarentscheidung seit seiner Gründung über die Zulassung von</w:t>
      </w:r>
      <w:r w:rsidRPr="00870186">
        <w:rPr>
          <w:rStyle w:val="apple-converted-space"/>
          <w:rFonts w:ascii="Arial" w:eastAsiaTheme="majorEastAsia" w:hAnsi="Arial" w:cs="Arial"/>
          <w:color w:val="365F91" w:themeColor="accent1" w:themeShade="BF"/>
          <w:lang w:val="de-DE"/>
        </w:rPr>
        <w:t> </w:t>
      </w:r>
      <w:hyperlink r:id="rId175" w:anchor="Streitkr.C3.A4fteeinsatz_im_Innern" w:tooltip="Bundeswehr" w:history="1">
        <w:r w:rsidRPr="00870186">
          <w:rPr>
            <w:rStyle w:val="Hipervnculo"/>
            <w:rFonts w:ascii="Arial" w:hAnsi="Arial" w:cs="Arial"/>
            <w:color w:val="365F91" w:themeColor="accent1" w:themeShade="BF"/>
            <w:lang w:val="de-DE"/>
          </w:rPr>
          <w:t>Bundeswehreinsätzen im Inland</w:t>
        </w:r>
      </w:hyperlink>
      <w:r w:rsidRPr="00870186">
        <w:rPr>
          <w:rFonts w:ascii="Arial" w:hAnsi="Arial" w:cs="Arial"/>
          <w:color w:val="365F91" w:themeColor="accent1" w:themeShade="BF"/>
          <w:lang w:val="de-DE"/>
        </w:rPr>
        <w:t>.</w:t>
      </w:r>
      <w:hyperlink r:id="rId176" w:anchor="cite_note-31" w:history="1">
        <w:r w:rsidRPr="00870186">
          <w:rPr>
            <w:rStyle w:val="Hipervnculo"/>
            <w:rFonts w:ascii="Arial" w:hAnsi="Arial" w:cs="Arial"/>
            <w:color w:val="365F91" w:themeColor="accent1" w:themeShade="BF"/>
            <w:vertAlign w:val="superscript"/>
          </w:rPr>
          <w:t>[31]</w:t>
        </w:r>
      </w:hyperlink>
    </w:p>
    <w:p w:rsidR="009819A5" w:rsidRPr="006C2C86" w:rsidRDefault="009819A5" w:rsidP="009819A5">
      <w:pPr>
        <w:pStyle w:val="NormalWeb"/>
        <w:shd w:val="clear" w:color="auto" w:fill="FFFFFF"/>
        <w:spacing w:before="96" w:beforeAutospacing="0" w:after="120" w:afterAutospacing="0" w:line="288" w:lineRule="atLeast"/>
        <w:rPr>
          <w:rFonts w:ascii="Arial" w:hAnsi="Arial" w:cs="Arial"/>
          <w:color w:val="365F91" w:themeColor="accent1" w:themeShade="BF"/>
          <w:lang w:val="de-DE"/>
        </w:rPr>
      </w:pPr>
    </w:p>
    <w:p w:rsidR="009819A5" w:rsidRPr="006C2C86" w:rsidRDefault="009819A5" w:rsidP="009819A5">
      <w:pPr>
        <w:rPr>
          <w:rFonts w:ascii="Arial" w:hAnsi="Arial" w:cs="Arial"/>
          <w:color w:val="365F91" w:themeColor="accent1" w:themeShade="BF"/>
          <w:sz w:val="24"/>
          <w:szCs w:val="24"/>
          <w:shd w:val="clear" w:color="auto" w:fill="FFFFFF"/>
          <w:lang w:val="de-DE"/>
        </w:rPr>
      </w:pPr>
    </w:p>
    <w:tbl>
      <w:tblPr>
        <w:tblW w:w="5350" w:type="dxa"/>
        <w:jc w:val="center"/>
        <w:tblInd w:w="815" w:type="dxa"/>
        <w:shd w:val="clear" w:color="auto" w:fill="FFFFFF"/>
        <w:tblCellMar>
          <w:left w:w="0" w:type="dxa"/>
          <w:right w:w="0" w:type="dxa"/>
        </w:tblCellMar>
        <w:tblLook w:val="04A0"/>
      </w:tblPr>
      <w:tblGrid>
        <w:gridCol w:w="5350"/>
      </w:tblGrid>
      <w:tr w:rsidR="009819A5" w:rsidRPr="006C2C86" w:rsidTr="00612491">
        <w:trPr>
          <w:jc w:val="center"/>
        </w:trPr>
        <w:tc>
          <w:tcPr>
            <w:tcW w:w="5350" w:type="dxa"/>
            <w:tcBorders>
              <w:top w:val="nil"/>
              <w:left w:val="nil"/>
              <w:bottom w:val="nil"/>
              <w:right w:val="nil"/>
            </w:tcBorders>
            <w:shd w:val="clear" w:color="auto" w:fill="auto"/>
            <w:vAlign w:val="bottom"/>
            <w:hideMark/>
          </w:tcPr>
          <w:p w:rsidR="009819A5" w:rsidRPr="006C2C86" w:rsidRDefault="009819A5" w:rsidP="000D4E30">
            <w:pPr>
              <w:spacing w:after="0" w:line="285" w:lineRule="atLeast"/>
              <w:jc w:val="both"/>
              <w:rPr>
                <w:rFonts w:ascii="Lucida Sans Unicode" w:eastAsia="Times New Roman" w:hAnsi="Lucida Sans Unicode" w:cs="Lucida Sans Unicode"/>
                <w:b/>
                <w:bCs/>
                <w:smallCaps/>
                <w:color w:val="0064A5"/>
                <w:sz w:val="24"/>
                <w:szCs w:val="24"/>
                <w:lang w:eastAsia="es-ES"/>
              </w:rPr>
            </w:pPr>
          </w:p>
        </w:tc>
      </w:tr>
      <w:tr w:rsidR="009819A5" w:rsidRPr="006C2C86" w:rsidTr="00612491">
        <w:trPr>
          <w:jc w:val="center"/>
        </w:trPr>
        <w:tc>
          <w:tcPr>
            <w:tcW w:w="5350" w:type="dxa"/>
            <w:tcBorders>
              <w:top w:val="nil"/>
              <w:left w:val="nil"/>
              <w:bottom w:val="nil"/>
              <w:right w:val="nil"/>
            </w:tcBorders>
            <w:shd w:val="clear" w:color="auto" w:fill="auto"/>
            <w:vAlign w:val="bottom"/>
            <w:hideMark/>
          </w:tcPr>
          <w:p w:rsidR="009819A5" w:rsidRPr="006C2C86" w:rsidRDefault="009819A5" w:rsidP="000D4E30">
            <w:pPr>
              <w:spacing w:after="0" w:line="285" w:lineRule="atLeast"/>
              <w:jc w:val="both"/>
              <w:rPr>
                <w:rFonts w:ascii="Lucida Sans Unicode" w:eastAsia="Times New Roman" w:hAnsi="Lucida Sans Unicode" w:cs="Lucida Sans Unicode"/>
                <w:color w:val="0064A5"/>
                <w:sz w:val="24"/>
                <w:szCs w:val="24"/>
                <w:lang w:eastAsia="es-ES"/>
              </w:rPr>
            </w:pPr>
          </w:p>
        </w:tc>
      </w:tr>
    </w:tbl>
    <w:p w:rsidR="009819A5" w:rsidRDefault="009819A5"/>
    <w:sectPr w:rsidR="009819A5" w:rsidSect="009819A5">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034"/>
    <w:multiLevelType w:val="multilevel"/>
    <w:tmpl w:val="273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BD5A15"/>
    <w:multiLevelType w:val="multilevel"/>
    <w:tmpl w:val="255C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14FDE"/>
    <w:multiLevelType w:val="multilevel"/>
    <w:tmpl w:val="664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BD7AA1"/>
    <w:multiLevelType w:val="multilevel"/>
    <w:tmpl w:val="7362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19A5"/>
    <w:rsid w:val="000D4E30"/>
    <w:rsid w:val="00247E78"/>
    <w:rsid w:val="003701BC"/>
    <w:rsid w:val="00612491"/>
    <w:rsid w:val="009819A5"/>
    <w:rsid w:val="009B5A0B"/>
    <w:rsid w:val="009D3E72"/>
    <w:rsid w:val="00CD373A"/>
    <w:rsid w:val="00DF6EE3"/>
    <w:rsid w:val="00EA31FC"/>
    <w:rsid w:val="00F12291"/>
    <w:rsid w:val="00FC7879"/>
    <w:rsid w:val="00FF08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91"/>
  </w:style>
  <w:style w:type="paragraph" w:styleId="Ttulo1">
    <w:name w:val="heading 1"/>
    <w:basedOn w:val="Normal"/>
    <w:link w:val="Ttulo1Car"/>
    <w:uiPriority w:val="9"/>
    <w:qFormat/>
    <w:rsid w:val="00981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9819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819A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819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9A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9819A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9819A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9819A5"/>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81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819A5"/>
    <w:rPr>
      <w:color w:val="0000FF"/>
      <w:u w:val="single"/>
    </w:rPr>
  </w:style>
  <w:style w:type="character" w:customStyle="1" w:styleId="apple-converted-space">
    <w:name w:val="apple-converted-space"/>
    <w:basedOn w:val="Fuentedeprrafopredeter"/>
    <w:rsid w:val="009819A5"/>
  </w:style>
  <w:style w:type="paragraph" w:styleId="Textoindependiente">
    <w:name w:val="Body Text"/>
    <w:basedOn w:val="Normal"/>
    <w:link w:val="TextoindependienteCar"/>
    <w:uiPriority w:val="99"/>
    <w:semiHidden/>
    <w:unhideWhenUsed/>
    <w:rsid w:val="00981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9819A5"/>
    <w:rPr>
      <w:rFonts w:ascii="Times New Roman" w:eastAsia="Times New Roman" w:hAnsi="Times New Roman" w:cs="Times New Roman"/>
      <w:sz w:val="24"/>
      <w:szCs w:val="24"/>
      <w:lang w:eastAsia="es-ES"/>
    </w:rPr>
  </w:style>
  <w:style w:type="character" w:customStyle="1" w:styleId="plainlinks-print">
    <w:name w:val="plainlinks-print"/>
    <w:basedOn w:val="Fuentedeprrafopredeter"/>
    <w:rsid w:val="009819A5"/>
  </w:style>
  <w:style w:type="character" w:customStyle="1" w:styleId="mw-headline">
    <w:name w:val="mw-headline"/>
    <w:basedOn w:val="Fuentedeprrafopredeter"/>
    <w:rsid w:val="009819A5"/>
  </w:style>
  <w:style w:type="character" w:customStyle="1" w:styleId="editsection">
    <w:name w:val="editsection"/>
    <w:basedOn w:val="Fuentedeprrafopredeter"/>
    <w:rsid w:val="009819A5"/>
  </w:style>
  <w:style w:type="character" w:customStyle="1" w:styleId="hauptartikel-pfeil">
    <w:name w:val="hauptartikel-pfeil"/>
    <w:basedOn w:val="Fuentedeprrafopredeter"/>
    <w:rsid w:val="009819A5"/>
  </w:style>
  <w:style w:type="character" w:customStyle="1" w:styleId="hauptartikel-text">
    <w:name w:val="hauptartikel-text"/>
    <w:basedOn w:val="Fuentedeprrafopredeter"/>
    <w:rsid w:val="009819A5"/>
  </w:style>
  <w:style w:type="character" w:customStyle="1" w:styleId="lang">
    <w:name w:val="lang"/>
    <w:basedOn w:val="Fuentedeprrafopredeter"/>
    <w:rsid w:val="009819A5"/>
  </w:style>
  <w:style w:type="paragraph" w:styleId="Textodeglobo">
    <w:name w:val="Balloon Text"/>
    <w:basedOn w:val="Normal"/>
    <w:link w:val="TextodegloboCar"/>
    <w:uiPriority w:val="99"/>
    <w:semiHidden/>
    <w:unhideWhenUsed/>
    <w:rsid w:val="009819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9A5"/>
    <w:rPr>
      <w:rFonts w:ascii="Tahoma" w:hAnsi="Tahoma" w:cs="Tahoma"/>
      <w:sz w:val="16"/>
      <w:szCs w:val="16"/>
    </w:rPr>
  </w:style>
  <w:style w:type="paragraph" w:customStyle="1" w:styleId="zitat">
    <w:name w:val="zitat"/>
    <w:basedOn w:val="Normal"/>
    <w:rsid w:val="009819A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eheauch-text">
    <w:name w:val="sieheauch-text"/>
    <w:basedOn w:val="Fuentedeprrafopredeter"/>
    <w:rsid w:val="009819A5"/>
  </w:style>
  <w:style w:type="character" w:styleId="Hipervnculovisitado">
    <w:name w:val="FollowedHyperlink"/>
    <w:basedOn w:val="Fuentedeprrafopredeter"/>
    <w:uiPriority w:val="99"/>
    <w:semiHidden/>
    <w:unhideWhenUsed/>
    <w:rsid w:val="00247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Normverwerfungskompetenz" TargetMode="External"/><Relationship Id="rId117" Type="http://schemas.openxmlformats.org/officeDocument/2006/relationships/hyperlink" Target="http://bundesrecht.juris.de/gg/art_4.html" TargetMode="External"/><Relationship Id="rId21" Type="http://schemas.openxmlformats.org/officeDocument/2006/relationships/hyperlink" Target="http://de.wikipedia.org/wiki/Bundesverfassungsgerichtsgesetz" TargetMode="External"/><Relationship Id="rId42" Type="http://schemas.openxmlformats.org/officeDocument/2006/relationships/hyperlink" Target="http://de.wikipedia.org/wiki/Bundesverfassungsgericht" TargetMode="External"/><Relationship Id="rId47" Type="http://schemas.openxmlformats.org/officeDocument/2006/relationships/hyperlink" Target="http://de.wikipedia.org/wiki/%C3%96ffentliches_Recht" TargetMode="External"/><Relationship Id="rId63" Type="http://schemas.openxmlformats.org/officeDocument/2006/relationships/hyperlink" Target="http://de.wikipedia.org/wiki/Grundrechte_(Deutschland)" TargetMode="External"/><Relationship Id="rId68" Type="http://schemas.openxmlformats.org/officeDocument/2006/relationships/hyperlink" Target="http://de.wikipedia.org/wiki/Frau" TargetMode="External"/><Relationship Id="rId84" Type="http://schemas.openxmlformats.org/officeDocument/2006/relationships/hyperlink" Target="http://de.wikipedia.org/wiki/Susanne_Baer" TargetMode="External"/><Relationship Id="rId89" Type="http://schemas.openxmlformats.org/officeDocument/2006/relationships/hyperlink" Target="http://de.wikipedia.org/wiki/Liste_der_Richter_am_deutschen_Bundesverfassungsgericht" TargetMode="External"/><Relationship Id="rId112" Type="http://schemas.openxmlformats.org/officeDocument/2006/relationships/hyperlink" Target="http://de.wikipedia.org/wiki/Beh%C3%B6rde" TargetMode="External"/><Relationship Id="rId133" Type="http://schemas.openxmlformats.org/officeDocument/2006/relationships/hyperlink" Target="http://de.wikipedia.org/wiki/Bundesregierung_(Deutschland)" TargetMode="External"/><Relationship Id="rId138" Type="http://schemas.openxmlformats.org/officeDocument/2006/relationships/hyperlink" Target="http://de.wikipedia.org/w/index.php?title=Bundesverfassungsgericht&amp;action=edit&amp;section=18" TargetMode="External"/><Relationship Id="rId154" Type="http://schemas.openxmlformats.org/officeDocument/2006/relationships/hyperlink" Target="http://de.wikipedia.org/w/index.php?title=Bundesverfassungsgericht&amp;action=edit&amp;section=22" TargetMode="External"/><Relationship Id="rId159" Type="http://schemas.openxmlformats.org/officeDocument/2006/relationships/hyperlink" Target="http://de.wikipedia.org/wiki/NPD-Verbotsverfahren_(2001%E2%80%932003)" TargetMode="External"/><Relationship Id="rId175" Type="http://schemas.openxmlformats.org/officeDocument/2006/relationships/hyperlink" Target="http://de.wikipedia.org/wiki/Bundeswehr" TargetMode="External"/><Relationship Id="rId170" Type="http://schemas.openxmlformats.org/officeDocument/2006/relationships/hyperlink" Target="http://de.wikipedia.org/wiki/Europaparlament" TargetMode="External"/><Relationship Id="rId16" Type="http://schemas.openxmlformats.org/officeDocument/2006/relationships/hyperlink" Target="http://de.wikipedia.org/wiki/Organ_(Recht)" TargetMode="External"/><Relationship Id="rId107" Type="http://schemas.openxmlformats.org/officeDocument/2006/relationships/hyperlink" Target="http://de.wikipedia.org/wiki/Fachgericht" TargetMode="External"/><Relationship Id="rId11" Type="http://schemas.openxmlformats.org/officeDocument/2006/relationships/hyperlink" Target="http://de.wikipedia.org/wiki/V%C3%B6lkerrecht" TargetMode="External"/><Relationship Id="rId32" Type="http://schemas.openxmlformats.org/officeDocument/2006/relationships/hyperlink" Target="http://de.wikipedia.org/wiki/Kammer_(Gericht)" TargetMode="External"/><Relationship Id="rId37" Type="http://schemas.openxmlformats.org/officeDocument/2006/relationships/hyperlink" Target="http://de.wikipedia.org/wiki/Wissenschaftlicher_Mitarbeiter_(Bundesdienst)" TargetMode="External"/><Relationship Id="rId53" Type="http://schemas.openxmlformats.org/officeDocument/2006/relationships/hyperlink" Target="http://de.wikipedia.org/wiki/Bundesverfassungsgericht" TargetMode="External"/><Relationship Id="rId58" Type="http://schemas.openxmlformats.org/officeDocument/2006/relationships/hyperlink" Target="http://www.gesetze-im-internet.de/bverfgg/__4.html" TargetMode="External"/><Relationship Id="rId74" Type="http://schemas.openxmlformats.org/officeDocument/2006/relationships/hyperlink" Target="http://de.wikipedia.org/wiki/Frauenanteil" TargetMode="External"/><Relationship Id="rId79" Type="http://schemas.openxmlformats.org/officeDocument/2006/relationships/hyperlink" Target="http://de.wikipedia.org/wiki/Staatsziel" TargetMode="External"/><Relationship Id="rId102" Type="http://schemas.openxmlformats.org/officeDocument/2006/relationships/hyperlink" Target="http://de.wikipedia.org/wiki/Grundrechte_(Deutschland)" TargetMode="External"/><Relationship Id="rId123" Type="http://schemas.openxmlformats.org/officeDocument/2006/relationships/hyperlink" Target="http://de.wikipedia.org/wiki/Konkrete_Normenkontrolle" TargetMode="External"/><Relationship Id="rId128" Type="http://schemas.openxmlformats.org/officeDocument/2006/relationships/hyperlink" Target="http://de.wikipedia.org/wiki/Bundesverfassungsgericht" TargetMode="External"/><Relationship Id="rId144" Type="http://schemas.openxmlformats.org/officeDocument/2006/relationships/hyperlink" Target="http://de.wikipedia.org/w/index.php?title=Bundesverfassungsgericht&amp;action=edit&amp;section=21" TargetMode="External"/><Relationship Id="rId149" Type="http://schemas.openxmlformats.org/officeDocument/2006/relationships/hyperlink" Target="http://bundesrecht.juris.de/gg/art_74.html" TargetMode="External"/><Relationship Id="rId5" Type="http://schemas.openxmlformats.org/officeDocument/2006/relationships/hyperlink" Target="http://de.wikipedia.org/wiki/Deutschland" TargetMode="External"/><Relationship Id="rId90" Type="http://schemas.openxmlformats.org/officeDocument/2006/relationships/hyperlink" Target="http://de.wikipedia.org/wiki/Liste_von_Frauenanteilen_in_der_Berufswelt" TargetMode="External"/><Relationship Id="rId95" Type="http://schemas.openxmlformats.org/officeDocument/2006/relationships/hyperlink" Target="http://de.wikipedia.org/wiki/Landesverfassung_(Deutschland)" TargetMode="External"/><Relationship Id="rId160" Type="http://schemas.openxmlformats.org/officeDocument/2006/relationships/hyperlink" Target="http://de.wikipedia.org/w/index.php?title=Bundesverfassungsgericht&amp;action=edit&amp;section=23" TargetMode="External"/><Relationship Id="rId165" Type="http://schemas.openxmlformats.org/officeDocument/2006/relationships/hyperlink" Target="http://de.wikipedia.org/w/index.php?title=Bundesverfassungsgericht&amp;action=edit&amp;section=25" TargetMode="External"/><Relationship Id="rId22" Type="http://schemas.openxmlformats.org/officeDocument/2006/relationships/hyperlink" Target="http://de.wikipedia.org/wiki/Inter_partes" TargetMode="External"/><Relationship Id="rId27" Type="http://schemas.openxmlformats.org/officeDocument/2006/relationships/hyperlink" Target="http://bundesrecht.juris.de/gg/art_100.html" TargetMode="External"/><Relationship Id="rId43" Type="http://schemas.openxmlformats.org/officeDocument/2006/relationships/hyperlink" Target="http://de.wikipedia.org/wiki/Sondervotum" TargetMode="External"/><Relationship Id="rId48" Type="http://schemas.openxmlformats.org/officeDocument/2006/relationships/hyperlink" Target="http://de.wikipedia.org/wiki/Bundesverfassungsgericht" TargetMode="External"/><Relationship Id="rId64" Type="http://schemas.openxmlformats.org/officeDocument/2006/relationships/hyperlink" Target="http://de.wikipedia.org/wiki/Protokollarische_Rangordnung" TargetMode="External"/><Relationship Id="rId69" Type="http://schemas.openxmlformats.org/officeDocument/2006/relationships/hyperlink" Target="http://de.wikipedia.org/wiki/Susanne_Baer" TargetMode="External"/><Relationship Id="rId113" Type="http://schemas.openxmlformats.org/officeDocument/2006/relationships/hyperlink" Target="http://de.wikipedia.org/wiki/Juristische_Person" TargetMode="External"/><Relationship Id="rId118" Type="http://schemas.openxmlformats.org/officeDocument/2006/relationships/hyperlink" Target="http://de.wikipedia.org/wiki/Sasbach_am_Kaiserstuhl" TargetMode="External"/><Relationship Id="rId134" Type="http://schemas.openxmlformats.org/officeDocument/2006/relationships/hyperlink" Target="http://de.wikipedia.org/wiki/Landesregierung_(Deutschland)" TargetMode="External"/><Relationship Id="rId139" Type="http://schemas.openxmlformats.org/officeDocument/2006/relationships/hyperlink" Target="http://de.wikipedia.org/w/index.php?title=Bundesverfassungsgericht&amp;action=edit&amp;section=19" TargetMode="External"/><Relationship Id="rId80" Type="http://schemas.openxmlformats.org/officeDocument/2006/relationships/hyperlink" Target="http://de.wikipedia.org/wiki/Gleichstellung_der_Geschlechter" TargetMode="External"/><Relationship Id="rId85" Type="http://schemas.openxmlformats.org/officeDocument/2006/relationships/hyperlink" Target="http://de.wikipedia.org/wiki/Brun-Otto_Bryde" TargetMode="External"/><Relationship Id="rId150" Type="http://schemas.openxmlformats.org/officeDocument/2006/relationships/hyperlink" Target="http://de.wikipedia.org/wiki/Konkurrierende_Gesetzgebung" TargetMode="External"/><Relationship Id="rId155" Type="http://schemas.openxmlformats.org/officeDocument/2006/relationships/hyperlink" Target="http://de.wikipedia.org/wiki/Parteiverbotsverfahren" TargetMode="External"/><Relationship Id="rId171" Type="http://schemas.openxmlformats.org/officeDocument/2006/relationships/hyperlink" Target="http://de.wikipedia.org/w/index.php?title=Bundesverfassungsgericht&amp;action=edit&amp;section=26" TargetMode="External"/><Relationship Id="rId176" Type="http://schemas.openxmlformats.org/officeDocument/2006/relationships/hyperlink" Target="http://de.wikipedia.org/wiki/Bundesverfassungsgericht" TargetMode="External"/><Relationship Id="rId12" Type="http://schemas.openxmlformats.org/officeDocument/2006/relationships/hyperlink" Target="http://de.wikipedia.org/wiki/Bundesverfassungsgericht" TargetMode="External"/><Relationship Id="rId17" Type="http://schemas.openxmlformats.org/officeDocument/2006/relationships/hyperlink" Target="http://de.wikipedia.org/wiki/Verfassungsrecht" TargetMode="External"/><Relationship Id="rId33" Type="http://schemas.openxmlformats.org/officeDocument/2006/relationships/hyperlink" Target="http://de.wikipedia.org/wiki/Gesch%C3%A4ftsordnung" TargetMode="External"/><Relationship Id="rId38" Type="http://schemas.openxmlformats.org/officeDocument/2006/relationships/hyperlink" Target="http://de.wikipedia.org/wiki/Pr%C3%A4sidialrat_(Bundesverfassungsgericht)" TargetMode="External"/><Relationship Id="rId59" Type="http://schemas.openxmlformats.org/officeDocument/2006/relationships/hyperlink" Target="http://www.gesetze-im-internet.de/bverfgg/__105.html" TargetMode="External"/><Relationship Id="rId103" Type="http://schemas.openxmlformats.org/officeDocument/2006/relationships/hyperlink" Target="http://de.wikipedia.org/wiki/Exekutive" TargetMode="External"/><Relationship Id="rId108" Type="http://schemas.openxmlformats.org/officeDocument/2006/relationships/hyperlink" Target="http://de.wikipedia.org/wiki/Gesetz" TargetMode="External"/><Relationship Id="rId124" Type="http://schemas.openxmlformats.org/officeDocument/2006/relationships/hyperlink" Target="http://de.wikipedia.org/wiki/Normverwerfungskompetenz" TargetMode="External"/><Relationship Id="rId129" Type="http://schemas.openxmlformats.org/officeDocument/2006/relationships/hyperlink" Target="http://de.wikipedia.org/wiki/Solange_I" TargetMode="External"/><Relationship Id="rId54" Type="http://schemas.openxmlformats.org/officeDocument/2006/relationships/hyperlink" Target="http://de.wikipedia.org/wiki/Bef%C3%A4higung_zum_Richteramt" TargetMode="External"/><Relationship Id="rId70" Type="http://schemas.openxmlformats.org/officeDocument/2006/relationships/hyperlink" Target="http://de.wikipedia.org/wiki/Gabriele_Britz" TargetMode="External"/><Relationship Id="rId75" Type="http://schemas.openxmlformats.org/officeDocument/2006/relationships/hyperlink" Target="http://de.wikipedia.org/wiki/Frauenanteil_im_Deutschen_Bundestag_seit_1949" TargetMode="External"/><Relationship Id="rId91" Type="http://schemas.openxmlformats.org/officeDocument/2006/relationships/hyperlink" Target="http://de.wikipedia.org/w/index.php?title=Bundesverfassungsgericht&amp;action=edit&amp;section=13" TargetMode="External"/><Relationship Id="rId96" Type="http://schemas.openxmlformats.org/officeDocument/2006/relationships/hyperlink" Target="http://de.wikipedia.org/wiki/Land_(Deutschland)" TargetMode="External"/><Relationship Id="rId140" Type="http://schemas.openxmlformats.org/officeDocument/2006/relationships/hyperlink" Target="http://bundesrecht.juris.de/gg/art_93.html" TargetMode="External"/><Relationship Id="rId145" Type="http://schemas.openxmlformats.org/officeDocument/2006/relationships/hyperlink" Target="http://www.gesetze-im-internet.de/zpo/__894.html" TargetMode="External"/><Relationship Id="rId161" Type="http://schemas.openxmlformats.org/officeDocument/2006/relationships/hyperlink" Target="http://de.wikipedia.org/wiki/Grundrechtsverwirkung" TargetMode="External"/><Relationship Id="rId166" Type="http://schemas.openxmlformats.org/officeDocument/2006/relationships/hyperlink" Target="http://de.wikipedia.org/wiki/Bundestagswahl" TargetMode="External"/><Relationship Id="rId1" Type="http://schemas.openxmlformats.org/officeDocument/2006/relationships/numbering" Target="numbering.xml"/><Relationship Id="rId6" Type="http://schemas.openxmlformats.org/officeDocument/2006/relationships/hyperlink" Target="http://de.wikipedia.org/wiki/Verfassungsgerichtsbarkeit" TargetMode="External"/><Relationship Id="rId23" Type="http://schemas.openxmlformats.org/officeDocument/2006/relationships/hyperlink" Target="http://www.gesetze-im-internet.de/bverfgg/__31.html" TargetMode="External"/><Relationship Id="rId28" Type="http://schemas.openxmlformats.org/officeDocument/2006/relationships/hyperlink" Target="http://de.wikipedia.org/wiki/Bundesverfassungsgericht" TargetMode="External"/><Relationship Id="rId49" Type="http://schemas.openxmlformats.org/officeDocument/2006/relationships/hyperlink" Target="http://de.wikipedia.org/wiki/Deutscher_Bundestag" TargetMode="External"/><Relationship Id="rId114" Type="http://schemas.openxmlformats.org/officeDocument/2006/relationships/hyperlink" Target="http://bundesrecht.juris.de/gg/art_19.html" TargetMode="External"/><Relationship Id="rId119" Type="http://schemas.openxmlformats.org/officeDocument/2006/relationships/hyperlink" Target="http://bundesrecht.juris.de/gg/art_5.html" TargetMode="External"/><Relationship Id="rId10" Type="http://schemas.openxmlformats.org/officeDocument/2006/relationships/hyperlink" Target="http://de.wikipedia.org/wiki/Staatsrecht_(Deutschland)" TargetMode="External"/><Relationship Id="rId31" Type="http://schemas.openxmlformats.org/officeDocument/2006/relationships/hyperlink" Target="http://de.wikipedia.org/wiki/Spruchk%C3%B6rper" TargetMode="External"/><Relationship Id="rId44" Type="http://schemas.openxmlformats.org/officeDocument/2006/relationships/hyperlink" Target="http://de.wikipedia.org/wiki/Plenum" TargetMode="External"/><Relationship Id="rId52" Type="http://schemas.openxmlformats.org/officeDocument/2006/relationships/hyperlink" Target="http://de.wikipedia.org/wiki/Bundesverfassungsgericht" TargetMode="External"/><Relationship Id="rId60" Type="http://schemas.openxmlformats.org/officeDocument/2006/relationships/hyperlink" Target="http://www.gesetze-im-internet.de/bverfgg/__9.html" TargetMode="External"/><Relationship Id="rId65" Type="http://schemas.openxmlformats.org/officeDocument/2006/relationships/hyperlink" Target="http://de.wikipedia.org/wiki/Pr%C3%A4sident_des_Deutschen_Bundestages" TargetMode="External"/><Relationship Id="rId73" Type="http://schemas.openxmlformats.org/officeDocument/2006/relationships/hyperlink" Target="http://de.wikipedia.org/wiki/Sibylle_Kessal-Wulf" TargetMode="External"/><Relationship Id="rId78" Type="http://schemas.openxmlformats.org/officeDocument/2006/relationships/hyperlink" Target="http://de.wikipedia.org/wiki/Bundesverfassungsgericht" TargetMode="External"/><Relationship Id="rId81" Type="http://schemas.openxmlformats.org/officeDocument/2006/relationships/hyperlink" Target="http://de.wikipedia.org/wiki/Gleichberechtigung" TargetMode="External"/><Relationship Id="rId86" Type="http://schemas.openxmlformats.org/officeDocument/2006/relationships/hyperlink" Target="http://de.wikipedia.org/wiki/Gabriele_Britz" TargetMode="External"/><Relationship Id="rId94" Type="http://schemas.openxmlformats.org/officeDocument/2006/relationships/hyperlink" Target="http://de.wikipedia.org/wiki/Enumerativ" TargetMode="External"/><Relationship Id="rId99" Type="http://schemas.openxmlformats.org/officeDocument/2006/relationships/hyperlink" Target="http://de.wikipedia.org/wiki/Europarecht" TargetMode="External"/><Relationship Id="rId101" Type="http://schemas.openxmlformats.org/officeDocument/2006/relationships/hyperlink" Target="http://bundesrecht.juris.de/gg/art_93.html" TargetMode="External"/><Relationship Id="rId122" Type="http://schemas.openxmlformats.org/officeDocument/2006/relationships/hyperlink" Target="http://www.gesetze-im-internet.de/bverfgg/__93d.html" TargetMode="External"/><Relationship Id="rId130" Type="http://schemas.openxmlformats.org/officeDocument/2006/relationships/hyperlink" Target="http://de.wikipedia.org/wiki/Solange_II" TargetMode="External"/><Relationship Id="rId135" Type="http://schemas.openxmlformats.org/officeDocument/2006/relationships/hyperlink" Target="http://de.wikipedia.org/wiki/Abstrakte_Normenkontrolle" TargetMode="External"/><Relationship Id="rId143" Type="http://schemas.openxmlformats.org/officeDocument/2006/relationships/hyperlink" Target="http://de.wikipedia.org/wiki/Subsidiarit%C3%A4t" TargetMode="External"/><Relationship Id="rId148" Type="http://schemas.openxmlformats.org/officeDocument/2006/relationships/hyperlink" Target="http://de.wikipedia.org/wiki/Willenserkl%C3%A4rung" TargetMode="External"/><Relationship Id="rId151" Type="http://schemas.openxmlformats.org/officeDocument/2006/relationships/hyperlink" Target="http://bundesrecht.juris.de/gg/art_125a.html" TargetMode="External"/><Relationship Id="rId156" Type="http://schemas.openxmlformats.org/officeDocument/2006/relationships/hyperlink" Target="http://de.wikipedia.org/wiki/Sozialistische_Reichspartei" TargetMode="External"/><Relationship Id="rId164" Type="http://schemas.openxmlformats.org/officeDocument/2006/relationships/hyperlink" Target="http://de.wikipedia.org/wiki/Bundeswahlausschuss" TargetMode="External"/><Relationship Id="rId169" Type="http://schemas.openxmlformats.org/officeDocument/2006/relationships/hyperlink" Target="http://de.wikipedia.org/wiki/Quorum_(Politik)"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wikipedia.org/wiki/Judikative" TargetMode="External"/><Relationship Id="rId172" Type="http://schemas.openxmlformats.org/officeDocument/2006/relationships/hyperlink" Target="http://de.wikipedia.org/wiki/Pr%C3%A4sidentenanklage" TargetMode="External"/><Relationship Id="rId13" Type="http://schemas.openxmlformats.org/officeDocument/2006/relationships/hyperlink" Target="http://de.wikipedia.org/wiki/Bundesverfassungsgericht" TargetMode="External"/><Relationship Id="rId18" Type="http://schemas.openxmlformats.org/officeDocument/2006/relationships/hyperlink" Target="http://bundesrecht.juris.de/gg/art_93.html" TargetMode="External"/><Relationship Id="rId39" Type="http://schemas.openxmlformats.org/officeDocument/2006/relationships/hyperlink" Target="http://de.wikipedia.org/wiki/Qualifizierte_Zweidrittelmehrheit" TargetMode="External"/><Relationship Id="rId109" Type="http://schemas.openxmlformats.org/officeDocument/2006/relationships/hyperlink" Target="http://de.wikipedia.org/wiki/Rechtsnorm" TargetMode="External"/><Relationship Id="rId34" Type="http://schemas.openxmlformats.org/officeDocument/2006/relationships/hyperlink" Target="http://de.wikipedia.org/wiki/Richter" TargetMode="External"/><Relationship Id="rId50" Type="http://schemas.openxmlformats.org/officeDocument/2006/relationships/hyperlink" Target="http://de.wikipedia.org/wiki/Zweidrittelmehrheit" TargetMode="External"/><Relationship Id="rId55" Type="http://schemas.openxmlformats.org/officeDocument/2006/relationships/hyperlink" Target="http://de.wikipedia.org/wiki/Professor" TargetMode="External"/><Relationship Id="rId76" Type="http://schemas.openxmlformats.org/officeDocument/2006/relationships/hyperlink" Target="http://de.wikipedia.org/wiki/Karin_Gra%C3%9Fhof" TargetMode="External"/><Relationship Id="rId97" Type="http://schemas.openxmlformats.org/officeDocument/2006/relationships/hyperlink" Target="http://de.wikipedia.org/wiki/Europ%C3%A4ische_Union" TargetMode="External"/><Relationship Id="rId104" Type="http://schemas.openxmlformats.org/officeDocument/2006/relationships/hyperlink" Target="http://de.wikipedia.org/wiki/Rechtsprechung" TargetMode="External"/><Relationship Id="rId120" Type="http://schemas.openxmlformats.org/officeDocument/2006/relationships/hyperlink" Target="http://www.gesetze-im-internet.de/bverfgg/__90.html" TargetMode="External"/><Relationship Id="rId125" Type="http://schemas.openxmlformats.org/officeDocument/2006/relationships/hyperlink" Target="http://de.wikipedia.org/wiki/Landesrecht" TargetMode="External"/><Relationship Id="rId141" Type="http://schemas.openxmlformats.org/officeDocument/2006/relationships/hyperlink" Target="http://bundesrecht.juris.de/gg/art_72.html" TargetMode="External"/><Relationship Id="rId146" Type="http://schemas.openxmlformats.org/officeDocument/2006/relationships/hyperlink" Target="http://de.wikipedia.org/wiki/Zivilprozessordnung_(Deutschland)" TargetMode="External"/><Relationship Id="rId167" Type="http://schemas.openxmlformats.org/officeDocument/2006/relationships/hyperlink" Target="http://de.wikipedia.org/wiki/Europawahl" TargetMode="External"/><Relationship Id="rId7" Type="http://schemas.openxmlformats.org/officeDocument/2006/relationships/hyperlink" Target="http://de.wikipedia.org/wiki/Bundesebene_(Deutschland)" TargetMode="External"/><Relationship Id="rId71" Type="http://schemas.openxmlformats.org/officeDocument/2006/relationships/hyperlink" Target="http://de.wikipedia.org/wiki/Gertrude_L%C3%BCbbe-Wolff" TargetMode="External"/><Relationship Id="rId92" Type="http://schemas.openxmlformats.org/officeDocument/2006/relationships/hyperlink" Target="http://de.wikipedia.org/wiki/Grundgesetz_f%C3%BCr_die_Bundesrepublik_Deutschland" TargetMode="External"/><Relationship Id="rId162" Type="http://schemas.openxmlformats.org/officeDocument/2006/relationships/hyperlink" Target="http://de.wikipedia.org/w/index.php?title=Bundesverfassungsgericht&amp;action=edit&amp;section=24" TargetMode="External"/><Relationship Id="rId2" Type="http://schemas.openxmlformats.org/officeDocument/2006/relationships/styles" Target="styles.xml"/><Relationship Id="rId29" Type="http://schemas.openxmlformats.org/officeDocument/2006/relationships/hyperlink" Target="http://www.gesetze-im-internet.de/bverfgg/__95.html" TargetMode="External"/><Relationship Id="rId24" Type="http://schemas.openxmlformats.org/officeDocument/2006/relationships/hyperlink" Target="http://de.wikipedia.org/wiki/Inter_omnes" TargetMode="External"/><Relationship Id="rId40" Type="http://schemas.openxmlformats.org/officeDocument/2006/relationships/hyperlink" Target="http://de.wikipedia.org/wiki/Untersuchungsausschussgesetz" TargetMode="External"/><Relationship Id="rId45" Type="http://schemas.openxmlformats.org/officeDocument/2006/relationships/hyperlink" Target="http://de.wikipedia.org/wiki/Bundesverfassungsgericht" TargetMode="External"/><Relationship Id="rId66" Type="http://schemas.openxmlformats.org/officeDocument/2006/relationships/hyperlink" Target="http://de.wikipedia.org/wiki/Bundeskanzler_(Deutschland)" TargetMode="External"/><Relationship Id="rId87" Type="http://schemas.openxmlformats.org/officeDocument/2006/relationships/hyperlink" Target="http://de.wikipedia.org/wiki/Sibylle_Kessal-Wulf" TargetMode="External"/><Relationship Id="rId110" Type="http://schemas.openxmlformats.org/officeDocument/2006/relationships/hyperlink" Target="http://de.wikipedia.org/wiki/Land_(Deutschland)" TargetMode="External"/><Relationship Id="rId115" Type="http://schemas.openxmlformats.org/officeDocument/2006/relationships/hyperlink" Target="http://bundesrecht.juris.de/gg/art_12.html" TargetMode="External"/><Relationship Id="rId131" Type="http://schemas.openxmlformats.org/officeDocument/2006/relationships/hyperlink" Target="http://de.wikipedia.org/wiki/Maastricht-Urteil" TargetMode="External"/><Relationship Id="rId136" Type="http://schemas.openxmlformats.org/officeDocument/2006/relationships/hyperlink" Target="http://de.wikipedia.org/w/index.php?title=Bundesverfassungsgericht&amp;action=edit&amp;section=17" TargetMode="External"/><Relationship Id="rId157" Type="http://schemas.openxmlformats.org/officeDocument/2006/relationships/hyperlink" Target="http://de.wikipedia.org/wiki/KPD-Verbot" TargetMode="External"/><Relationship Id="rId178" Type="http://schemas.openxmlformats.org/officeDocument/2006/relationships/theme" Target="theme/theme1.xml"/><Relationship Id="rId61" Type="http://schemas.openxmlformats.org/officeDocument/2006/relationships/hyperlink" Target="http://de.wikipedia.org/wiki/Dienstaufsicht" TargetMode="External"/><Relationship Id="rId82" Type="http://schemas.openxmlformats.org/officeDocument/2006/relationships/hyperlink" Target="http://de.wikipedia.org/wiki/Bundesverfassungsgericht" TargetMode="External"/><Relationship Id="rId152" Type="http://schemas.openxmlformats.org/officeDocument/2006/relationships/hyperlink" Target="http://de.wikipedia.org/wiki/Bundesverfassungsgericht" TargetMode="External"/><Relationship Id="rId173" Type="http://schemas.openxmlformats.org/officeDocument/2006/relationships/hyperlink" Target="http://www.gesetze-im-internet.de/bverfgg/__16.html" TargetMode="External"/><Relationship Id="rId19" Type="http://schemas.openxmlformats.org/officeDocument/2006/relationships/hyperlink" Target="http://de.wikipedia.org/wiki/Oberste_Gerichtsh%C3%B6fe" TargetMode="External"/><Relationship Id="rId14" Type="http://schemas.openxmlformats.org/officeDocument/2006/relationships/hyperlink" Target="http://de.wikipedia.org/wiki/Instanz_(Recht)" TargetMode="External"/><Relationship Id="rId30" Type="http://schemas.openxmlformats.org/officeDocument/2006/relationships/hyperlink" Target="http://de.wikipedia.org/wiki/Legislative" TargetMode="External"/><Relationship Id="rId35" Type="http://schemas.openxmlformats.org/officeDocument/2006/relationships/hyperlink" Target="http://de.wikipedia.org/wiki/Organstreit" TargetMode="External"/><Relationship Id="rId56" Type="http://schemas.openxmlformats.org/officeDocument/2006/relationships/hyperlink" Target="http://de.wikipedia.org/wiki/Wahlrecht" TargetMode="External"/><Relationship Id="rId77" Type="http://schemas.openxmlformats.org/officeDocument/2006/relationships/hyperlink" Target="http://de.wikipedia.org/wiki/Jutta_Limbach" TargetMode="External"/><Relationship Id="rId100" Type="http://schemas.openxmlformats.org/officeDocument/2006/relationships/hyperlink" Target="http://de.wikipedia.org/wiki/Verfassungsbeschwerde" TargetMode="External"/><Relationship Id="rId105" Type="http://schemas.openxmlformats.org/officeDocument/2006/relationships/hyperlink" Target="http://de.wikipedia.org/wiki/Gesetzgebung" TargetMode="External"/><Relationship Id="rId126" Type="http://schemas.openxmlformats.org/officeDocument/2006/relationships/hyperlink" Target="http://de.wikipedia.org/wiki/Vorkonstitutionelles_Recht" TargetMode="External"/><Relationship Id="rId147" Type="http://schemas.openxmlformats.org/officeDocument/2006/relationships/hyperlink" Target="http://de.wikipedia.org/wiki/Surrogation" TargetMode="External"/><Relationship Id="rId168" Type="http://schemas.openxmlformats.org/officeDocument/2006/relationships/hyperlink" Target="http://de.wikipedia.org/wiki/Wahlpr%C3%BCfungsbeschwerde" TargetMode="External"/><Relationship Id="rId8" Type="http://schemas.openxmlformats.org/officeDocument/2006/relationships/hyperlink" Target="http://de.wikipedia.org/wiki/Grundgesetz_f%C3%BCr_die_Bundesrepublik_Deutschland" TargetMode="External"/><Relationship Id="rId51" Type="http://schemas.openxmlformats.org/officeDocument/2006/relationships/hyperlink" Target="http://de.wikipedia.org/wiki/D%E2%80%99Hondt-Verfahren" TargetMode="External"/><Relationship Id="rId72" Type="http://schemas.openxmlformats.org/officeDocument/2006/relationships/hyperlink" Target="http://de.wikipedia.org/wiki/Monika_Hermanns" TargetMode="External"/><Relationship Id="rId93" Type="http://schemas.openxmlformats.org/officeDocument/2006/relationships/hyperlink" Target="http://www.gesetze-im-internet.de/bverfgg/__13.html" TargetMode="External"/><Relationship Id="rId98" Type="http://schemas.openxmlformats.org/officeDocument/2006/relationships/hyperlink" Target="http://de.wikipedia.org/wiki/Europ%C3%A4ischer_Gerichtshof" TargetMode="External"/><Relationship Id="rId121" Type="http://schemas.openxmlformats.org/officeDocument/2006/relationships/hyperlink" Target="http://de.wikipedia.org/wiki/A_limine" TargetMode="External"/><Relationship Id="rId142" Type="http://schemas.openxmlformats.org/officeDocument/2006/relationships/hyperlink" Target="http://de.wikipedia.org/w/index.php?title=Bundesverfassungsgericht&amp;action=edit&amp;section=20" TargetMode="External"/><Relationship Id="rId163" Type="http://schemas.openxmlformats.org/officeDocument/2006/relationships/hyperlink" Target="http://de.wikipedia.org/wiki/Politische_Partei" TargetMode="External"/><Relationship Id="rId3" Type="http://schemas.openxmlformats.org/officeDocument/2006/relationships/settings" Target="settings.xml"/><Relationship Id="rId25" Type="http://schemas.openxmlformats.org/officeDocument/2006/relationships/hyperlink" Target="http://www.gesetze-im-internet.de/bverfgg/__95.html" TargetMode="External"/><Relationship Id="rId46" Type="http://schemas.openxmlformats.org/officeDocument/2006/relationships/hyperlink" Target="http://de.wikipedia.org/wiki/Liste_der_Richter_am_deutschen_Bundesverfassungsgericht" TargetMode="External"/><Relationship Id="rId67" Type="http://schemas.openxmlformats.org/officeDocument/2006/relationships/hyperlink" Target="http://de.wikipedia.org/wiki/Pr%C3%A4sident_des_Bundesrates_(Deutschland)" TargetMode="External"/><Relationship Id="rId116" Type="http://schemas.openxmlformats.org/officeDocument/2006/relationships/hyperlink" Target="http://bundesrecht.juris.de/gg/art_14.html" TargetMode="External"/><Relationship Id="rId137" Type="http://schemas.openxmlformats.org/officeDocument/2006/relationships/hyperlink" Target="http://de.wikipedia.org/wiki/Organstreit" TargetMode="External"/><Relationship Id="rId158" Type="http://schemas.openxmlformats.org/officeDocument/2006/relationships/hyperlink" Target="http://de.wikipedia.org/wiki/Nationaldemokratische_Partei_Deutschlands" TargetMode="External"/><Relationship Id="rId20" Type="http://schemas.openxmlformats.org/officeDocument/2006/relationships/hyperlink" Target="http://www.gesetze-im-internet.de/bverfgg/__31.html" TargetMode="External"/><Relationship Id="rId41" Type="http://schemas.openxmlformats.org/officeDocument/2006/relationships/hyperlink" Target="http://www.gesetze-im-internet.de/bverfgg/__97c.html" TargetMode="External"/><Relationship Id="rId62" Type="http://schemas.openxmlformats.org/officeDocument/2006/relationships/hyperlink" Target="http://de.wikipedia.org/wiki/Wahlrecht" TargetMode="External"/><Relationship Id="rId83" Type="http://schemas.openxmlformats.org/officeDocument/2006/relationships/hyperlink" Target="http://de.wikipedia.org/wiki/Schneewittchen" TargetMode="External"/><Relationship Id="rId88" Type="http://schemas.openxmlformats.org/officeDocument/2006/relationships/hyperlink" Target="http://de.wikipedia.org/wiki/Bundesverfassungsgericht" TargetMode="External"/><Relationship Id="rId111" Type="http://schemas.openxmlformats.org/officeDocument/2006/relationships/hyperlink" Target="http://de.wikipedia.org/wiki/Landesverfassungsgericht" TargetMode="External"/><Relationship Id="rId132" Type="http://schemas.openxmlformats.org/officeDocument/2006/relationships/hyperlink" Target="http://de.wikipedia.org/w/index.php?title=Bundesverfassungsgericht&amp;action=edit&amp;section=16" TargetMode="External"/><Relationship Id="rId153" Type="http://schemas.openxmlformats.org/officeDocument/2006/relationships/hyperlink" Target="http://de.wikipedia.org/wiki/Surrogation" TargetMode="External"/><Relationship Id="rId174" Type="http://schemas.openxmlformats.org/officeDocument/2006/relationships/hyperlink" Target="http://de.wikipedia.org/wiki/Bundesverfassungsgericht" TargetMode="External"/><Relationship Id="rId15" Type="http://schemas.openxmlformats.org/officeDocument/2006/relationships/hyperlink" Target="http://de.wikipedia.org/wiki/Staatsgewalt" TargetMode="External"/><Relationship Id="rId36" Type="http://schemas.openxmlformats.org/officeDocument/2006/relationships/hyperlink" Target="http://de.wikipedia.org/wiki/Parteiverbot" TargetMode="External"/><Relationship Id="rId57" Type="http://schemas.openxmlformats.org/officeDocument/2006/relationships/hyperlink" Target="http://de.wikipedia.org/wiki/Organ_(Recht)" TargetMode="External"/><Relationship Id="rId106" Type="http://schemas.openxmlformats.org/officeDocument/2006/relationships/hyperlink" Target="http://de.wikipedia.org/wiki/Superrevision" TargetMode="External"/><Relationship Id="rId127" Type="http://schemas.openxmlformats.org/officeDocument/2006/relationships/hyperlink" Target="http://bundesrecht.juris.de/gg/art_2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6590</Words>
  <Characters>36251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2013-05-02T22:48:00Z</dcterms:created>
  <dcterms:modified xsi:type="dcterms:W3CDTF">2013-06-11T14:41:00Z</dcterms:modified>
</cp:coreProperties>
</file>