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95" w:rsidRPr="00AF4786" w:rsidRDefault="00AF4786">
      <w:pPr>
        <w:rPr>
          <w:lang w:val="de-DE"/>
        </w:rPr>
      </w:pPr>
      <w:r w:rsidRPr="00AF4786">
        <w:rPr>
          <w:lang w:val="de-DE"/>
        </w:rPr>
        <w:t>Würde  GG Art 1</w:t>
      </w:r>
    </w:p>
    <w:p w:rsidR="00AF4786" w:rsidRPr="00CF2379" w:rsidRDefault="00320B3F">
      <w:hyperlink r:id="rId4" w:history="1">
        <w:r w:rsidR="00AF4786" w:rsidRPr="00CF2379">
          <w:rPr>
            <w:rStyle w:val="Hipervnculo"/>
          </w:rPr>
          <w:t>http://www.lexexakt.de/index.php/glossar?title=menschenwuerde.php</w:t>
        </w:r>
      </w:hyperlink>
      <w:r w:rsidR="00AF4786" w:rsidRPr="00CF2379">
        <w:t xml:space="preserve"> </w:t>
      </w:r>
      <w:r w:rsidR="00CF2379">
        <w:t xml:space="preserve"> </w:t>
      </w:r>
      <w:r w:rsidR="00AF4786" w:rsidRPr="00CF2379">
        <w:t>dignidad humana</w:t>
      </w:r>
    </w:p>
    <w:tbl>
      <w:tblPr>
        <w:tblW w:w="0" w:type="auto"/>
        <w:shd w:val="clear" w:color="auto" w:fill="FFFFFF"/>
        <w:tblCellMar>
          <w:left w:w="0" w:type="dxa"/>
          <w:right w:w="0" w:type="dxa"/>
        </w:tblCellMar>
        <w:tblLook w:val="04A0"/>
      </w:tblPr>
      <w:tblGrid>
        <w:gridCol w:w="4202"/>
        <w:gridCol w:w="5296"/>
      </w:tblGrid>
      <w:tr w:rsidR="00AF4786" w:rsidRPr="00CF2379" w:rsidTr="00AF4786">
        <w:trPr>
          <w:trHeight w:val="180"/>
        </w:trPr>
        <w:tc>
          <w:tcPr>
            <w:tcW w:w="4500" w:type="dxa"/>
            <w:shd w:val="clear" w:color="auto" w:fill="FFFFFF"/>
            <w:vAlign w:val="center"/>
            <w:hideMark/>
          </w:tcPr>
          <w:p w:rsidR="00AF4786" w:rsidRPr="00CF2379" w:rsidRDefault="00320B3F">
            <w:pPr>
              <w:spacing w:line="270" w:lineRule="atLeast"/>
              <w:rPr>
                <w:rFonts w:ascii="Helvetica" w:hAnsi="Helvetica" w:cs="Helvetica"/>
                <w:color w:val="333333"/>
                <w:sz w:val="20"/>
                <w:szCs w:val="20"/>
                <w:lang w:val="de-DE"/>
              </w:rPr>
            </w:pPr>
            <w:hyperlink r:id="rId5" w:history="1">
              <w:r w:rsidR="00AF4786" w:rsidRPr="00CF2379">
                <w:rPr>
                  <w:rStyle w:val="Hipervnculo"/>
                  <w:rFonts w:ascii="Helvetica" w:hAnsi="Helvetica" w:cs="Helvetica"/>
                  <w:b/>
                  <w:bCs/>
                  <w:color w:val="000000"/>
                  <w:sz w:val="20"/>
                  <w:szCs w:val="20"/>
                  <w:u w:val="none"/>
                  <w:lang w:val="de-DE"/>
                </w:rPr>
                <w:t>Menschenwürde/Art. 1 Abs. 1 GG</w:t>
              </w:r>
            </w:hyperlink>
            <w:r w:rsidR="00CF2379" w:rsidRPr="00CF2379">
              <w:rPr>
                <w:lang w:val="de-DE"/>
              </w:rPr>
              <w:t xml:space="preserve"> - </w:t>
            </w:r>
            <w:r w:rsidR="00CF2379">
              <w:rPr>
                <w:rFonts w:ascii="Helvetica" w:hAnsi="Helvetica" w:cs="Helvetica"/>
                <w:color w:val="333333"/>
                <w:sz w:val="17"/>
                <w:szCs w:val="17"/>
                <w:lang w:val="de-DE"/>
              </w:rPr>
              <w:t xml:space="preserve">(engl.   </w:t>
            </w:r>
            <w:r w:rsidR="00CF2379" w:rsidRPr="00AF4786">
              <w:rPr>
                <w:rFonts w:ascii="Helvetica" w:hAnsi="Helvetica" w:cs="Helvetica"/>
                <w:color w:val="333333"/>
                <w:sz w:val="17"/>
                <w:szCs w:val="17"/>
                <w:lang w:val="de-DE"/>
              </w:rPr>
              <w:t>human dignity )</w:t>
            </w:r>
          </w:p>
        </w:tc>
        <w:tc>
          <w:tcPr>
            <w:tcW w:w="6000" w:type="dxa"/>
            <w:shd w:val="clear" w:color="auto" w:fill="FFFFFF"/>
            <w:vAlign w:val="center"/>
            <w:hideMark/>
          </w:tcPr>
          <w:p w:rsidR="00AF4786" w:rsidRPr="00CF2379" w:rsidRDefault="00AF4786">
            <w:pPr>
              <w:spacing w:line="180" w:lineRule="atLeast"/>
              <w:jc w:val="right"/>
              <w:rPr>
                <w:rFonts w:ascii="Helvetica" w:hAnsi="Helvetica" w:cs="Helvetica"/>
                <w:color w:val="333333"/>
                <w:sz w:val="20"/>
                <w:szCs w:val="20"/>
                <w:lang w:val="de-DE"/>
              </w:rPr>
            </w:pPr>
          </w:p>
        </w:tc>
      </w:tr>
      <w:tr w:rsidR="00AF4786" w:rsidRPr="00CF2379" w:rsidTr="00AF4786">
        <w:tc>
          <w:tcPr>
            <w:tcW w:w="0" w:type="auto"/>
            <w:gridSpan w:val="2"/>
            <w:shd w:val="clear" w:color="auto" w:fill="FFFFFF"/>
            <w:vAlign w:val="center"/>
            <w:hideMark/>
          </w:tcPr>
          <w:p w:rsidR="00AF4786" w:rsidRPr="00AF4786" w:rsidRDefault="00AF4786">
            <w:pPr>
              <w:spacing w:line="270" w:lineRule="atLeast"/>
              <w:rPr>
                <w:rFonts w:ascii="Helvetica" w:hAnsi="Helvetica" w:cs="Helvetica"/>
                <w:color w:val="333333"/>
                <w:sz w:val="20"/>
                <w:szCs w:val="20"/>
                <w:lang w:val="de-DE"/>
              </w:rPr>
            </w:pPr>
          </w:p>
        </w:tc>
      </w:tr>
    </w:tbl>
    <w:p w:rsidR="00AF4786" w:rsidRPr="00AF4786" w:rsidRDefault="00AF4786" w:rsidP="00AF4786">
      <w:pPr>
        <w:rPr>
          <w:vanish/>
          <w:lang w:val="de-DE"/>
        </w:rPr>
      </w:pPr>
    </w:p>
    <w:tbl>
      <w:tblPr>
        <w:tblW w:w="0" w:type="auto"/>
        <w:shd w:val="clear" w:color="auto" w:fill="FFFFFF"/>
        <w:tblCellMar>
          <w:left w:w="0" w:type="dxa"/>
          <w:right w:w="0" w:type="dxa"/>
        </w:tblCellMar>
        <w:tblLook w:val="04A0"/>
      </w:tblPr>
      <w:tblGrid>
        <w:gridCol w:w="223"/>
        <w:gridCol w:w="9275"/>
      </w:tblGrid>
      <w:tr w:rsidR="00AF4786" w:rsidRPr="00CF2379" w:rsidTr="00AF4786">
        <w:tc>
          <w:tcPr>
            <w:tcW w:w="0" w:type="auto"/>
            <w:shd w:val="clear" w:color="auto" w:fill="FFFFFF"/>
            <w:vAlign w:val="center"/>
            <w:hideMark/>
          </w:tcPr>
          <w:p w:rsidR="00AF4786" w:rsidRPr="00AF4786" w:rsidRDefault="00AF4786">
            <w:pPr>
              <w:spacing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    </w:t>
            </w:r>
          </w:p>
        </w:tc>
        <w:tc>
          <w:tcPr>
            <w:tcW w:w="0" w:type="auto"/>
            <w:shd w:val="clear" w:color="auto" w:fill="FFFFFF"/>
            <w:vAlign w:val="center"/>
            <w:hideMark/>
          </w:tcPr>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Die Achtung der Würde des Menschen wird vom Grundgesetz in Art. 1 Abs. 1 zum obersten Gebot des Handelns aller staatlicher Gewalt gemacht.</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Die nachfolgende Darstellung folgt dem</w:t>
            </w:r>
            <w:r w:rsidRPr="00AF4786">
              <w:rPr>
                <w:rStyle w:val="apple-converted-space"/>
                <w:rFonts w:ascii="Helvetica" w:hAnsi="Helvetica" w:cs="Helvetica"/>
                <w:color w:val="333333"/>
                <w:sz w:val="20"/>
                <w:szCs w:val="20"/>
                <w:lang w:val="de-DE"/>
              </w:rPr>
              <w:t> </w:t>
            </w:r>
            <w:hyperlink r:id="rId6" w:tooltip="&#10;Prüfungsschema für die Verletzung eines Freiheitsrechts&#10;" w:history="1">
              <w:r w:rsidRPr="00AF4786">
                <w:rPr>
                  <w:rStyle w:val="Hipervnculo"/>
                  <w:rFonts w:ascii="Helvetica" w:hAnsi="Helvetica" w:cs="Helvetica"/>
                  <w:color w:val="0088CC"/>
                  <w:sz w:val="20"/>
                  <w:szCs w:val="20"/>
                  <w:u w:val="none"/>
                  <w:lang w:val="de-DE"/>
                </w:rPr>
                <w:t>Prüfungsschema</w:t>
              </w:r>
            </w:hyperlink>
            <w:r w:rsidRPr="00AF4786">
              <w:rPr>
                <w:rFonts w:ascii="Helvetica" w:hAnsi="Helvetica" w:cs="Helvetica"/>
                <w:color w:val="333333"/>
                <w:sz w:val="20"/>
                <w:szCs w:val="20"/>
                <w:lang w:val="de-DE"/>
              </w:rPr>
              <w:t>, für Grundrechtsverletzungen.</w:t>
            </w:r>
          </w:p>
          <w:p w:rsidR="00AF4786" w:rsidRPr="00AF4786" w:rsidRDefault="00AF4786">
            <w:pPr>
              <w:pStyle w:val="Ttulo4"/>
              <w:spacing w:before="180" w:beforeAutospacing="0" w:after="180" w:afterAutospacing="0" w:line="240" w:lineRule="atLeast"/>
              <w:rPr>
                <w:rFonts w:ascii="Arial" w:hAnsi="Arial" w:cs="Arial"/>
                <w:color w:val="333333"/>
                <w:sz w:val="21"/>
                <w:szCs w:val="21"/>
                <w:lang w:val="de-DE"/>
              </w:rPr>
            </w:pPr>
            <w:r w:rsidRPr="00AF4786">
              <w:rPr>
                <w:rFonts w:ascii="Arial" w:hAnsi="Arial" w:cs="Arial"/>
                <w:color w:val="333333"/>
                <w:sz w:val="21"/>
                <w:szCs w:val="21"/>
                <w:lang w:val="de-DE"/>
              </w:rPr>
              <w:t>Schutzbereich</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Die Bestimmung des Schutzbereiches ist schwierig. Entsprechend gibt es hier verschiedene, sich ergänzende, Ansichten.</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Nach der sog.</w:t>
            </w:r>
            <w:r w:rsidRPr="00AF4786">
              <w:rPr>
                <w:rStyle w:val="apple-converted-space"/>
                <w:rFonts w:ascii="Helvetica" w:hAnsi="Helvetica" w:cs="Helvetica"/>
                <w:color w:val="333333"/>
                <w:sz w:val="20"/>
                <w:szCs w:val="20"/>
                <w:lang w:val="de-DE"/>
              </w:rPr>
              <w:t> </w:t>
            </w:r>
            <w:r w:rsidRPr="00AF4786">
              <w:rPr>
                <w:rStyle w:val="Textoennegrita"/>
                <w:rFonts w:ascii="Helvetica" w:hAnsi="Helvetica" w:cs="Helvetica"/>
                <w:color w:val="333333"/>
                <w:sz w:val="20"/>
                <w:szCs w:val="20"/>
                <w:lang w:val="de-DE"/>
              </w:rPr>
              <w:t>Mitgifttheorie</w:t>
            </w:r>
            <w:r w:rsidRPr="00AF4786">
              <w:rPr>
                <w:rStyle w:val="apple-converted-space"/>
                <w:rFonts w:ascii="Helvetica" w:hAnsi="Helvetica" w:cs="Helvetica"/>
                <w:color w:val="333333"/>
                <w:sz w:val="20"/>
                <w:szCs w:val="20"/>
                <w:lang w:val="de-DE"/>
              </w:rPr>
              <w:t> </w:t>
            </w:r>
            <w:r w:rsidRPr="00AF4786">
              <w:rPr>
                <w:rFonts w:ascii="Helvetica" w:hAnsi="Helvetica" w:cs="Helvetica"/>
                <w:color w:val="333333"/>
                <w:sz w:val="20"/>
                <w:szCs w:val="20"/>
                <w:lang w:val="de-DE"/>
              </w:rPr>
              <w:t>ist die Menschenwürde der dem Menschen von Gott oder der Natur mitgegebene Eigenwert, der von nichts als der puren Existenz abhängig ist.</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Im Gegensatz dazu, hat Mensch nach der sog.</w:t>
            </w:r>
            <w:r w:rsidRPr="00AF4786">
              <w:rPr>
                <w:rStyle w:val="apple-converted-space"/>
                <w:rFonts w:ascii="Helvetica" w:hAnsi="Helvetica" w:cs="Helvetica"/>
                <w:color w:val="333333"/>
                <w:sz w:val="20"/>
                <w:szCs w:val="20"/>
                <w:lang w:val="de-DE"/>
              </w:rPr>
              <w:t> </w:t>
            </w:r>
            <w:r w:rsidRPr="00AF4786">
              <w:rPr>
                <w:rStyle w:val="Textoennegrita"/>
                <w:rFonts w:ascii="Helvetica" w:hAnsi="Helvetica" w:cs="Helvetica"/>
                <w:color w:val="333333"/>
                <w:sz w:val="20"/>
                <w:szCs w:val="20"/>
                <w:lang w:val="de-DE"/>
              </w:rPr>
              <w:t>Leistungstheorie</w:t>
            </w:r>
            <w:r w:rsidRPr="00AF4786">
              <w:rPr>
                <w:rFonts w:ascii="Helvetica" w:hAnsi="Helvetica" w:cs="Helvetica"/>
                <w:color w:val="333333"/>
                <w:sz w:val="20"/>
                <w:szCs w:val="20"/>
                <w:lang w:val="de-DE"/>
              </w:rPr>
              <w:t>, seine Würde aufgrund seines eigenen selbstbestimmten Verhaltens. Was so verstanden wird, daß der Inhalt der Menschenwürde von dem Wollen des Einzelnen abhängt (siehe Pieroth/Schlink, Rn. 385).</w:t>
            </w:r>
          </w:p>
          <w:p w:rsidR="00AF4786" w:rsidRPr="00AF4786" w:rsidRDefault="00AF4786">
            <w:pPr>
              <w:pStyle w:val="Ttulo4"/>
              <w:spacing w:before="180" w:beforeAutospacing="0" w:after="180" w:afterAutospacing="0" w:line="240" w:lineRule="atLeast"/>
              <w:rPr>
                <w:rFonts w:ascii="Arial" w:hAnsi="Arial" w:cs="Arial"/>
                <w:color w:val="333333"/>
                <w:sz w:val="21"/>
                <w:szCs w:val="21"/>
                <w:lang w:val="de-DE"/>
              </w:rPr>
            </w:pPr>
            <w:r w:rsidRPr="00AF4786">
              <w:rPr>
                <w:rFonts w:ascii="Arial" w:hAnsi="Arial" w:cs="Arial"/>
                <w:color w:val="333333"/>
                <w:sz w:val="21"/>
                <w:szCs w:val="21"/>
                <w:lang w:val="de-DE"/>
              </w:rPr>
              <w:t>Eingriff</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In der Praxis wird die Menschenwürde vor dem Hintergrund der wenig greifbaren positiven Theorien (Mitgift- und Leitungstheorie) negativ über den Eingriff definiert.</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Hierzu hat das BVerfG vor allem die</w:t>
            </w:r>
            <w:r w:rsidRPr="00AF4786">
              <w:rPr>
                <w:rStyle w:val="apple-converted-space"/>
                <w:rFonts w:ascii="Helvetica" w:hAnsi="Helvetica" w:cs="Helvetica"/>
                <w:color w:val="333333"/>
                <w:sz w:val="20"/>
                <w:szCs w:val="20"/>
                <w:lang w:val="de-DE"/>
              </w:rPr>
              <w:t> </w:t>
            </w:r>
            <w:r w:rsidRPr="00AF4786">
              <w:rPr>
                <w:rStyle w:val="Textoennegrita"/>
                <w:rFonts w:ascii="Helvetica" w:hAnsi="Helvetica" w:cs="Helvetica"/>
                <w:color w:val="333333"/>
                <w:sz w:val="20"/>
                <w:szCs w:val="20"/>
                <w:lang w:val="de-DE"/>
              </w:rPr>
              <w:t>Objektformel</w:t>
            </w:r>
            <w:r w:rsidRPr="00AF4786">
              <w:rPr>
                <w:rStyle w:val="apple-converted-space"/>
                <w:rFonts w:ascii="Helvetica" w:hAnsi="Helvetica" w:cs="Helvetica"/>
                <w:color w:val="333333"/>
                <w:sz w:val="20"/>
                <w:szCs w:val="20"/>
                <w:lang w:val="de-DE"/>
              </w:rPr>
              <w:t> </w:t>
            </w:r>
            <w:r w:rsidRPr="00AF4786">
              <w:rPr>
                <w:rFonts w:ascii="Helvetica" w:hAnsi="Helvetica" w:cs="Helvetica"/>
                <w:color w:val="333333"/>
                <w:sz w:val="20"/>
                <w:szCs w:val="20"/>
                <w:lang w:val="de-DE"/>
              </w:rPr>
              <w:t>entwickelt, nach der ein Eingriff in die Würdes des Menschen dann vorliegt, wenn der Mensch zum Objekt staatlichen Handelns wird (BVerfGE 9, 89,95; 57, 250, 275), wenn er "einer Behandlung ausgesetzt wird, die seine Subjektsqualität prinzipiell in Frage stellt" (BVergE 30, 1, 26), wenn "in der Behandlung im konkreten Fall eine willkürliche Mißachtung der Würde des Menschen liegt. Die Behandlung des Menschen durch die öffentliche Hand, die das Gesetz vollzieht, muß also, wenn sie die Menschenwürde berühren soll, Ausdruck der Verachtung des Wertes, dem Menschen kraft seines Personseins zukommt, also in diesem Sinne eine 'verächtliche Behandlung' sein" (BVerfGE 30, 1, 26).</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Als Beispiele für Eingriffe in die Würde des Menschen werden in Literatur und Rechtsprechung u.a. genannt: Sklaverei, rassische Diskriminierung, Folter, körperliche Strafe, Einsatz eines Lügendetektors (BVerfG NJW 1982, 375) und Besteuerung des Existenzminimus.</w:t>
            </w:r>
          </w:p>
          <w:p w:rsidR="00AF4786" w:rsidRPr="00AF4786" w:rsidRDefault="00AF4786">
            <w:pPr>
              <w:pStyle w:val="Ttulo4"/>
              <w:spacing w:before="180" w:beforeAutospacing="0" w:after="180" w:afterAutospacing="0" w:line="240" w:lineRule="atLeast"/>
              <w:rPr>
                <w:rFonts w:ascii="Arial" w:hAnsi="Arial" w:cs="Arial"/>
                <w:color w:val="333333"/>
                <w:sz w:val="21"/>
                <w:szCs w:val="21"/>
                <w:lang w:val="de-DE"/>
              </w:rPr>
            </w:pPr>
            <w:r w:rsidRPr="00AF4786">
              <w:rPr>
                <w:rFonts w:ascii="Arial" w:hAnsi="Arial" w:cs="Arial"/>
                <w:color w:val="333333"/>
                <w:sz w:val="21"/>
                <w:szCs w:val="21"/>
                <w:lang w:val="de-DE"/>
              </w:rPr>
              <w:t>Schranken</w:t>
            </w:r>
          </w:p>
          <w:p w:rsidR="00AF4786" w:rsidRPr="00AF4786" w:rsidRDefault="00AF4786">
            <w:pPr>
              <w:pStyle w:val="NormalWeb"/>
              <w:spacing w:before="0" w:beforeAutospacing="0" w:after="135" w:afterAutospacing="0" w:line="270" w:lineRule="atLeast"/>
              <w:rPr>
                <w:rFonts w:ascii="Helvetica" w:hAnsi="Helvetica" w:cs="Helvetica"/>
                <w:color w:val="333333"/>
                <w:sz w:val="20"/>
                <w:szCs w:val="20"/>
                <w:lang w:val="de-DE"/>
              </w:rPr>
            </w:pPr>
            <w:r w:rsidRPr="00AF4786">
              <w:rPr>
                <w:rFonts w:ascii="Helvetica" w:hAnsi="Helvetica" w:cs="Helvetica"/>
                <w:color w:val="333333"/>
                <w:sz w:val="20"/>
                <w:szCs w:val="20"/>
                <w:lang w:val="de-DE"/>
              </w:rPr>
              <w:t>Art. 1 Abs. 1 GG kennt keinen</w:t>
            </w:r>
            <w:r w:rsidRPr="00AF4786">
              <w:rPr>
                <w:rStyle w:val="apple-converted-space"/>
                <w:rFonts w:ascii="Helvetica" w:hAnsi="Helvetica" w:cs="Helvetica"/>
                <w:color w:val="333333"/>
                <w:sz w:val="20"/>
                <w:szCs w:val="20"/>
                <w:lang w:val="de-DE"/>
              </w:rPr>
              <w:t> </w:t>
            </w:r>
            <w:hyperlink r:id="rId7" w:tooltip="&#10;Gesetzesvorbehalt/Schrankenvorbehalt&#10;" w:history="1">
              <w:r w:rsidRPr="00AF4786">
                <w:rPr>
                  <w:rStyle w:val="Hipervnculo"/>
                  <w:rFonts w:ascii="Helvetica" w:hAnsi="Helvetica" w:cs="Helvetica"/>
                  <w:color w:val="0088CC"/>
                  <w:sz w:val="20"/>
                  <w:szCs w:val="20"/>
                  <w:u w:val="none"/>
                  <w:lang w:val="de-DE"/>
                </w:rPr>
                <w:t>Gesetzesvorbehalt</w:t>
              </w:r>
            </w:hyperlink>
            <w:r w:rsidRPr="00AF4786">
              <w:rPr>
                <w:rFonts w:ascii="Helvetica" w:hAnsi="Helvetica" w:cs="Helvetica"/>
                <w:color w:val="333333"/>
                <w:sz w:val="20"/>
                <w:szCs w:val="20"/>
                <w:lang w:val="de-DE"/>
              </w:rPr>
              <w:t>. Aufgrund ihres Schutz durch die</w:t>
            </w:r>
            <w:r w:rsidRPr="00AF4786">
              <w:rPr>
                <w:rStyle w:val="apple-converted-space"/>
                <w:rFonts w:ascii="Helvetica" w:hAnsi="Helvetica" w:cs="Helvetica"/>
                <w:color w:val="333333"/>
                <w:sz w:val="20"/>
                <w:szCs w:val="20"/>
                <w:lang w:val="de-DE"/>
              </w:rPr>
              <w:t> </w:t>
            </w:r>
            <w:hyperlink r:id="rId8" w:tooltip="&#10;Ewigkeitsgarantie/Ewigkeitsklausel&#10;" w:history="1">
              <w:r w:rsidRPr="00AF4786">
                <w:rPr>
                  <w:rStyle w:val="Hipervnculo"/>
                  <w:rFonts w:ascii="Helvetica" w:hAnsi="Helvetica" w:cs="Helvetica"/>
                  <w:color w:val="0088CC"/>
                  <w:sz w:val="20"/>
                  <w:szCs w:val="20"/>
                  <w:u w:val="none"/>
                  <w:lang w:val="de-DE"/>
                </w:rPr>
                <w:t>Ewigkeitsgarantie</w:t>
              </w:r>
            </w:hyperlink>
            <w:r w:rsidRPr="00AF4786">
              <w:rPr>
                <w:rStyle w:val="apple-converted-space"/>
                <w:rFonts w:ascii="Helvetica" w:hAnsi="Helvetica" w:cs="Helvetica"/>
                <w:color w:val="333333"/>
                <w:sz w:val="20"/>
                <w:szCs w:val="20"/>
                <w:lang w:val="de-DE"/>
              </w:rPr>
              <w:t> </w:t>
            </w:r>
            <w:r w:rsidRPr="00AF4786">
              <w:rPr>
                <w:rFonts w:ascii="Helvetica" w:hAnsi="Helvetica" w:cs="Helvetica"/>
                <w:color w:val="333333"/>
                <w:sz w:val="20"/>
                <w:szCs w:val="20"/>
                <w:lang w:val="de-DE"/>
              </w:rPr>
              <w:t>in Art. 79 Abs.3 GG, und die in Art. 1 Abs. 1 GG festgelegte grundlegene Stellung der Menschenwürde kommt eine Einschränkung durch andere Grundrechte oder die anderen in Art. 79 Abs. 3 geschützten Verfassungsgüter nicht in Frage. Damit bleibt nur die Möglichkeit einer Einschränkung aufgrund einer Kollision zwischen der Würde zweier Menschen.</w:t>
            </w:r>
          </w:p>
        </w:tc>
      </w:tr>
    </w:tbl>
    <w:p w:rsidR="00AF4786" w:rsidRPr="00AF4786" w:rsidRDefault="00AF4786">
      <w:pPr>
        <w:rPr>
          <w:lang w:val="de-DE"/>
        </w:rPr>
      </w:pPr>
    </w:p>
    <w:sectPr w:rsidR="00AF4786" w:rsidRPr="00AF4786" w:rsidSect="00AF4786">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786"/>
    <w:rsid w:val="00320B3F"/>
    <w:rsid w:val="003A0895"/>
    <w:rsid w:val="00AF4786"/>
    <w:rsid w:val="00CF2379"/>
    <w:rsid w:val="00F467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5"/>
  </w:style>
  <w:style w:type="paragraph" w:styleId="Ttulo4">
    <w:name w:val="heading 4"/>
    <w:basedOn w:val="Normal"/>
    <w:link w:val="Ttulo4Car"/>
    <w:uiPriority w:val="9"/>
    <w:qFormat/>
    <w:rsid w:val="00AF478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4786"/>
    <w:rPr>
      <w:color w:val="0000FF" w:themeColor="hyperlink"/>
      <w:u w:val="single"/>
    </w:rPr>
  </w:style>
  <w:style w:type="character" w:customStyle="1" w:styleId="Ttulo4Car">
    <w:name w:val="Título 4 Car"/>
    <w:basedOn w:val="Fuentedeprrafopredeter"/>
    <w:link w:val="Ttulo4"/>
    <w:uiPriority w:val="9"/>
    <w:rsid w:val="00AF4786"/>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AF47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F4786"/>
  </w:style>
  <w:style w:type="character" w:styleId="Textoennegrita">
    <w:name w:val="Strong"/>
    <w:basedOn w:val="Fuentedeprrafopredeter"/>
    <w:uiPriority w:val="22"/>
    <w:qFormat/>
    <w:rsid w:val="00AF4786"/>
    <w:rPr>
      <w:b/>
      <w:bCs/>
    </w:rPr>
  </w:style>
</w:styles>
</file>

<file path=word/webSettings.xml><?xml version="1.0" encoding="utf-8"?>
<w:webSettings xmlns:r="http://schemas.openxmlformats.org/officeDocument/2006/relationships" xmlns:w="http://schemas.openxmlformats.org/wordprocessingml/2006/main">
  <w:divs>
    <w:div w:id="16060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exakt.de/index.php/glossar?title=ewigkeitsgarantie.html" TargetMode="External"/><Relationship Id="rId3" Type="http://schemas.openxmlformats.org/officeDocument/2006/relationships/webSettings" Target="webSettings.xml"/><Relationship Id="rId7" Type="http://schemas.openxmlformats.org/officeDocument/2006/relationships/hyperlink" Target="http://www.lexexakt.de/index.php/glossar?title=gesetzesvorbeha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exakt.de/index.php/glossar?title=schemafreiheitsrechte.html" TargetMode="External"/><Relationship Id="rId5" Type="http://schemas.openxmlformats.org/officeDocument/2006/relationships/hyperlink" Target="http://www.lexexakt.de/index.php/aendern?datei=../glossar/Base/menschenwuerde.xml" TargetMode="External"/><Relationship Id="rId10" Type="http://schemas.openxmlformats.org/officeDocument/2006/relationships/theme" Target="theme/theme1.xml"/><Relationship Id="rId4" Type="http://schemas.openxmlformats.org/officeDocument/2006/relationships/hyperlink" Target="http://www.lexexakt.de/index.php/glossar?title=menschenwuerde.php"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2661</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2015-04-09T19:46:00Z</dcterms:created>
  <dcterms:modified xsi:type="dcterms:W3CDTF">2015-04-10T16:51:00Z</dcterms:modified>
</cp:coreProperties>
</file>