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266953" w:rsidRDefault="00536A2D" w:rsidP="00536A2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kern w:val="36"/>
          <w:sz w:val="38"/>
          <w:szCs w:val="38"/>
          <w:lang w:eastAsia="es-ES"/>
        </w:rPr>
      </w:pPr>
      <w:r w:rsidRPr="00266953">
        <w:rPr>
          <w:rFonts w:ascii="Arial" w:eastAsia="Times New Roman" w:hAnsi="Arial" w:cs="Arial"/>
          <w:kern w:val="36"/>
          <w:sz w:val="38"/>
          <w:szCs w:val="38"/>
          <w:lang w:eastAsia="es-ES"/>
        </w:rPr>
        <w:t>Tribunal Constitucional de Alemania</w:t>
      </w:r>
    </w:p>
    <w:p w:rsidR="00536A2D" w:rsidRPr="00266953" w:rsidRDefault="00D916E6" w:rsidP="00536A2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943634" w:themeColor="accent2" w:themeShade="BF"/>
          <w:kern w:val="36"/>
          <w:sz w:val="38"/>
          <w:szCs w:val="38"/>
          <w:lang w:eastAsia="es-ES"/>
        </w:rPr>
      </w:pPr>
      <w:hyperlink r:id="rId5" w:history="1">
        <w:r w:rsidR="00536A2D" w:rsidRPr="00266953">
          <w:rPr>
            <w:rStyle w:val="Hipervnculo"/>
            <w:color w:val="943634" w:themeColor="accent2" w:themeShade="BF"/>
          </w:rPr>
          <w:t>http://es.wikipedia.org/wiki/Tribunal_Constitucional_de_Alemania</w:t>
        </w:r>
      </w:hyperlink>
    </w:p>
    <w:p w:rsidR="00536A2D" w:rsidRPr="00266953" w:rsidRDefault="00536A2D" w:rsidP="00536A2D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536A2D" w:rsidRPr="00266953" w:rsidRDefault="00536A2D" w:rsidP="00536A2D">
      <w:pPr>
        <w:shd w:val="clear" w:color="auto" w:fill="F9F9F9"/>
        <w:spacing w:after="0" w:line="336" w:lineRule="atLeast"/>
        <w:rPr>
          <w:rFonts w:ascii="Arial" w:eastAsia="Times New Roman" w:hAnsi="Arial" w:cs="Arial"/>
          <w:sz w:val="17"/>
          <w:szCs w:val="17"/>
          <w:lang w:eastAsia="es-ES"/>
        </w:rPr>
      </w:pPr>
    </w:p>
    <w:p w:rsidR="00536A2D" w:rsidRPr="00266953" w:rsidRDefault="00536A2D" w:rsidP="00536A2D">
      <w:pPr>
        <w:spacing w:before="96" w:after="120" w:line="360" w:lineRule="atLeast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sz w:val="19"/>
          <w:szCs w:val="19"/>
          <w:lang w:eastAsia="es-ES"/>
        </w:rPr>
        <w:t>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Tribunal Constitucional Federal Alemán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(</w:t>
      </w:r>
      <w:proofErr w:type="spellStart"/>
      <w:r w:rsidRPr="00266953">
        <w:rPr>
          <w:rFonts w:ascii="Arial" w:eastAsia="Times New Roman" w:hAnsi="Arial" w:cs="Arial"/>
          <w:i/>
          <w:iCs/>
          <w:sz w:val="19"/>
          <w:szCs w:val="19"/>
          <w:lang w:eastAsia="es-ES"/>
        </w:rPr>
        <w:t>Bundesverfassungsgericht</w:t>
      </w:r>
      <w:proofErr w:type="spellEnd"/>
      <w:r w:rsidRPr="00266953">
        <w:rPr>
          <w:rFonts w:ascii="Arial" w:eastAsia="Times New Roman" w:hAnsi="Arial" w:cs="Arial"/>
          <w:sz w:val="19"/>
          <w:szCs w:val="19"/>
          <w:lang w:eastAsia="es-ES"/>
        </w:rPr>
        <w:t xml:space="preserve">, con sede </w:t>
      </w:r>
      <w:proofErr w:type="spellStart"/>
      <w:r w:rsidRPr="00266953">
        <w:rPr>
          <w:rFonts w:ascii="Arial" w:eastAsia="Times New Roman" w:hAnsi="Arial" w:cs="Arial"/>
          <w:sz w:val="19"/>
          <w:szCs w:val="19"/>
          <w:lang w:eastAsia="es-ES"/>
        </w:rPr>
        <w:t>en</w:t>
      </w:r>
      <w:hyperlink r:id="rId6" w:tooltip="Karlsruhe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Karlsruhe</w:t>
        </w:r>
        <w:proofErr w:type="spellEnd"/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) es el órgano constitucional encargado del control de constitucionalidad de las leyes en la República Federal Alemana. Está compuesto por dos senados</w:t>
      </w:r>
      <w:r w:rsidR="00266953" w:rsidRPr="00266953">
        <w:rPr>
          <w:rFonts w:ascii="Arial" w:eastAsia="Times New Roman" w:hAnsi="Arial" w:cs="Arial"/>
          <w:sz w:val="19"/>
          <w:szCs w:val="19"/>
          <w:lang w:eastAsia="es-ES"/>
        </w:rPr>
        <w:t xml:space="preserve"> [salas]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, cada uno de los cuales tiene ocho miembros, de los que cuatro son elegidos por un comité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7" w:tooltip="Bundestag" w:history="1"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Bundestag</w:t>
        </w:r>
        <w:proofErr w:type="spellEnd"/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y otros cuatro por 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8" w:tooltip="Bundesrat" w:history="1"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Bundesrat</w:t>
        </w:r>
        <w:proofErr w:type="spellEnd"/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, siempre con mayoría de dos tercios. Este elevado quórum hace necesario acuerdos o compromisos de la mayoría política con la oposición, con lo cual se pretende garantizar la independencia política y la imparcialidad de los jueces. Generalmente, las personalidades elegidas no pertenecen a ningún partido político.</w:t>
      </w:r>
    </w:p>
    <w:p w:rsidR="00536A2D" w:rsidRPr="00266953" w:rsidRDefault="00536A2D" w:rsidP="00536A2D">
      <w:pPr>
        <w:spacing w:before="96" w:after="120" w:line="360" w:lineRule="atLeast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sz w:val="19"/>
          <w:szCs w:val="19"/>
          <w:lang w:eastAsia="es-ES"/>
        </w:rPr>
        <w:t xml:space="preserve">El Tribunal Constitucional Federal puede ser apelado por los demás órganos constitucionales, pero también por individuos si consideran que la actividad legislativa, administrativa o judicial de un órgano estatal lesiona sus </w:t>
      </w:r>
      <w:r w:rsidRPr="00266953">
        <w:rPr>
          <w:rFonts w:ascii="Arial" w:eastAsia="Times New Roman" w:hAnsi="Arial" w:cs="Arial"/>
          <w:i/>
          <w:sz w:val="19"/>
          <w:szCs w:val="19"/>
          <w:lang w:eastAsia="es-ES"/>
        </w:rPr>
        <w:t>derechos fundamentales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:rsidR="00536A2D" w:rsidRPr="00266953" w:rsidRDefault="00536A2D" w:rsidP="00536A2D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sz w:val="29"/>
          <w:szCs w:val="29"/>
          <w:lang w:eastAsia="es-ES"/>
        </w:rPr>
      </w:pPr>
      <w:r w:rsidRPr="00266953">
        <w:rPr>
          <w:rFonts w:ascii="Arial" w:eastAsia="Times New Roman" w:hAnsi="Arial" w:cs="Arial"/>
          <w:sz w:val="29"/>
          <w:lang w:eastAsia="es-ES"/>
        </w:rPr>
        <w:t>Funciones </w:t>
      </w:r>
    </w:p>
    <w:p w:rsidR="00536A2D" w:rsidRPr="00266953" w:rsidRDefault="00536A2D" w:rsidP="00536A2D">
      <w:pPr>
        <w:spacing w:before="96" w:after="120" w:line="360" w:lineRule="atLeast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sz w:val="19"/>
          <w:szCs w:val="19"/>
          <w:lang w:eastAsia="es-ES"/>
        </w:rPr>
        <w:t>Las funciones del Tribunal Constitucional Federal están enumeradas en la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9" w:tooltip="Grundgesetz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Constitución alemana</w:t>
        </w:r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y el §13 de la Ley Orgánica del Tribunal Constitucional y se limitan a las áreas de derecho constitucional e internacional. Además de sus funciones a escala federal puede ser competente en litigios sobre la interpretación de la constitución de un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0" w:tooltip="Organización territorial de Alemani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estado federado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, siempre que la constitución de este estado federado lo prevea (como, por ejemplo,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1" w:tooltip="Schleswig-Holstein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Schleswig-Holstein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). El Tribunal Constitucional Federal no es competente en litigios que se refieran a la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2" w:tooltip="Unión Europe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Unión Europea</w:t>
        </w:r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o sus tratados (competencia exclusiva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3" w:tooltip="Tribunal de Justicia de la Unión Europe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Tribunal de Justicia de la Unión Europea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), excepto cuando éstos afectan también a la interpretación de la Constitución alemana.</w:t>
      </w:r>
    </w:p>
    <w:p w:rsidR="00536A2D" w:rsidRPr="00266953" w:rsidRDefault="00536A2D" w:rsidP="00536A2D">
      <w:pPr>
        <w:spacing w:before="96" w:after="120" w:line="360" w:lineRule="atLeast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sz w:val="19"/>
          <w:szCs w:val="19"/>
          <w:lang w:eastAsia="es-ES"/>
        </w:rPr>
        <w:t>Las funciones principales del Tribunal Constitucional Federal son:</w:t>
      </w:r>
    </w:p>
    <w:p w:rsidR="00536A2D" w:rsidRPr="00266953" w:rsidRDefault="00536A2D" w:rsidP="00536A2D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Recurso de amparo constitucional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: La Constitución alemana admite el recurso de amparo constitucional a cualquier ciudadano (incluyendo personas jurídicas) que se vea lesionado en sus derechos constitucionales por acciones estatales (ejecutivas, legislativas o jurídicas). Sin embargo, el Tribunal Constitucional no es una simple instancia de revisión y no puede entrar en acción cuando una querella jurídica no afecta a cuestiones constitucionales.</w:t>
      </w:r>
    </w:p>
    <w:p w:rsidR="00536A2D" w:rsidRPr="00266953" w:rsidRDefault="00536A2D" w:rsidP="00536A2D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Control de constitucionalidad de la ley bajo la forma de control normativo concreto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: El Tribunal Constitucional Federal revisa la regularidad constitucional de una norma o ley a petición de los Tribunales Ordinarios de Justicia que conocen de una cuestión en litigio. La petición la realiza el Tribunal y no las partes en pugna.</w:t>
      </w:r>
    </w:p>
    <w:p w:rsidR="00536A2D" w:rsidRPr="00266953" w:rsidRDefault="00536A2D" w:rsidP="00536A2D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Control de constitucionalidad de la ley bajo la forma de control normativo abstracto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 xml:space="preserve">: El Tribunal Constitucional Federal revisa la regularidad constitucional de una norma o ley aprobada, a petición del 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lastRenderedPageBreak/>
        <w:t>Gobierno Federal, el gobierno de un estado federado o al menos el 30% de los miembros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4" w:tooltip="Bundestag" w:history="1"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Bundestag</w:t>
        </w:r>
        <w:proofErr w:type="spellEnd"/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. El control normativo abstracto se realiza independientemente de la existencia de litigios concretos y hace posible que la oposición parlamentaria haga comprobar la constitucionalidad de una ley o un tratado internacional.</w:t>
      </w:r>
    </w:p>
    <w:p w:rsidR="00536A2D" w:rsidRPr="00266953" w:rsidRDefault="00536A2D" w:rsidP="00536A2D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Resolución de conflictos de competencia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entre distintos órganos estatales federales o entre el Estado federal y los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5" w:tooltip="Organización territorial de Alemani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estados federados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:rsidR="00536A2D" w:rsidRPr="00266953" w:rsidRDefault="00536A2D" w:rsidP="00536A2D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Declaración de inconstitucionalidad de partidos políticos y su disolución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: A petición del Gobierno Federal,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6" w:tooltip="Bundestag" w:history="1"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Bundestag</w:t>
        </w:r>
        <w:proofErr w:type="spellEnd"/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y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7" w:tooltip="Bundesrat" w:history="1"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Bundesrat</w:t>
        </w:r>
        <w:proofErr w:type="spellEnd"/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, el tribunal Constitucional Federal puede disolver a los partidos que no se ajusten al orden constitucional. Hasta el momento, esto sucedió sólo en dos ocasiones: en 1952 se declaró inconstitucional al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8" w:tooltip="Partido Socialista del Reich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 xml:space="preserve">Partido Socialista del </w:t>
        </w:r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Reich</w:t>
        </w:r>
        <w:proofErr w:type="spellEnd"/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(un partido político considerado continuador del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19" w:tooltip="NSDAP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Partido Nazi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) y en 1956, al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20" w:tooltip="Partido Comunista de Alemani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Partido Comunista de Alemania</w:t>
        </w:r>
      </w:hyperlink>
      <w:r w:rsidRPr="00266953">
        <w:rPr>
          <w:rFonts w:ascii="Arial" w:eastAsia="Times New Roman" w:hAnsi="Arial" w:cs="Arial"/>
          <w:sz w:val="19"/>
          <w:szCs w:val="19"/>
          <w:lang w:eastAsia="es-ES"/>
        </w:rPr>
        <w:t>. En 2003, un juicio de inconstitucionalidad contra el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21" w:tooltip="Partido Nacionaldemócrata de Alemani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 xml:space="preserve">Partido </w:t>
        </w:r>
        <w:proofErr w:type="spellStart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Nacionaldemócrata</w:t>
        </w:r>
        <w:proofErr w:type="spellEnd"/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 xml:space="preserve"> de Alemania</w:t>
        </w:r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fracasó por cuestiones formales.</w:t>
      </w:r>
    </w:p>
    <w:p w:rsidR="00536A2D" w:rsidRPr="00266953" w:rsidRDefault="00536A2D" w:rsidP="00536A2D">
      <w:pPr>
        <w:spacing w:before="96" w:after="120" w:line="360" w:lineRule="atLeast"/>
        <w:rPr>
          <w:rFonts w:ascii="Arial" w:eastAsia="Times New Roman" w:hAnsi="Arial" w:cs="Arial"/>
          <w:sz w:val="19"/>
          <w:szCs w:val="19"/>
          <w:lang w:eastAsia="es-ES"/>
        </w:rPr>
      </w:pPr>
      <w:r w:rsidRPr="00266953">
        <w:rPr>
          <w:rFonts w:ascii="Arial" w:eastAsia="Times New Roman" w:hAnsi="Arial" w:cs="Arial"/>
          <w:sz w:val="19"/>
          <w:szCs w:val="19"/>
          <w:lang w:eastAsia="es-ES"/>
        </w:rPr>
        <w:t>Además de estas atribuciones, el Tribunal Constitucional Federal posee otras establecidas en la</w:t>
      </w:r>
      <w:r w:rsidRPr="00266953">
        <w:rPr>
          <w:rFonts w:ascii="Arial" w:eastAsia="Times New Roman" w:hAnsi="Arial" w:cs="Arial"/>
          <w:sz w:val="19"/>
          <w:lang w:eastAsia="es-ES"/>
        </w:rPr>
        <w:t> </w:t>
      </w:r>
      <w:hyperlink r:id="rId22" w:tooltip="Ley Orgánica" w:history="1">
        <w:r w:rsidRPr="00266953">
          <w:rPr>
            <w:rFonts w:ascii="Arial" w:eastAsia="Times New Roman" w:hAnsi="Arial" w:cs="Arial"/>
            <w:sz w:val="19"/>
            <w:u w:val="single"/>
            <w:lang w:eastAsia="es-ES"/>
          </w:rPr>
          <w:t>Ley Orgánica</w:t>
        </w:r>
      </w:hyperlink>
      <w:r w:rsidRPr="00266953">
        <w:rPr>
          <w:rFonts w:ascii="Arial" w:eastAsia="Times New Roman" w:hAnsi="Arial" w:cs="Arial"/>
          <w:sz w:val="19"/>
          <w:lang w:eastAsia="es-ES"/>
        </w:rPr>
        <w:t> </w:t>
      </w:r>
      <w:r w:rsidRPr="00266953">
        <w:rPr>
          <w:rFonts w:ascii="Arial" w:eastAsia="Times New Roman" w:hAnsi="Arial" w:cs="Arial"/>
          <w:sz w:val="19"/>
          <w:szCs w:val="19"/>
          <w:lang w:eastAsia="es-ES"/>
        </w:rPr>
        <w:t>que lo regula.</w:t>
      </w:r>
    </w:p>
    <w:p w:rsidR="00DB7049" w:rsidRDefault="00DB7049"/>
    <w:sectPr w:rsidR="00DB7049" w:rsidSect="00536A2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0C0"/>
    <w:multiLevelType w:val="multilevel"/>
    <w:tmpl w:val="6B4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D0643E"/>
    <w:multiLevelType w:val="multilevel"/>
    <w:tmpl w:val="DFF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7343E"/>
    <w:multiLevelType w:val="multilevel"/>
    <w:tmpl w:val="BA6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E47FB"/>
    <w:multiLevelType w:val="multilevel"/>
    <w:tmpl w:val="634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51F75"/>
    <w:multiLevelType w:val="multilevel"/>
    <w:tmpl w:val="06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2D"/>
    <w:rsid w:val="00266953"/>
    <w:rsid w:val="003D480E"/>
    <w:rsid w:val="00536A2D"/>
    <w:rsid w:val="00C377DC"/>
    <w:rsid w:val="00D916E6"/>
    <w:rsid w:val="00D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49"/>
  </w:style>
  <w:style w:type="paragraph" w:styleId="Ttulo1">
    <w:name w:val="heading 1"/>
    <w:basedOn w:val="Normal"/>
    <w:link w:val="Ttulo1Car"/>
    <w:uiPriority w:val="9"/>
    <w:qFormat/>
    <w:rsid w:val="00536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3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6A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36A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6A2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36A2D"/>
  </w:style>
  <w:style w:type="paragraph" w:styleId="NormalWeb">
    <w:name w:val="Normal (Web)"/>
    <w:basedOn w:val="Normal"/>
    <w:uiPriority w:val="99"/>
    <w:semiHidden/>
    <w:unhideWhenUsed/>
    <w:rsid w:val="0053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headline">
    <w:name w:val="mw-headline"/>
    <w:basedOn w:val="Fuentedeprrafopredeter"/>
    <w:rsid w:val="00536A2D"/>
  </w:style>
  <w:style w:type="character" w:customStyle="1" w:styleId="mw-editsection">
    <w:name w:val="mw-editsection"/>
    <w:basedOn w:val="Fuentedeprrafopredeter"/>
    <w:rsid w:val="00536A2D"/>
  </w:style>
  <w:style w:type="paragraph" w:styleId="Textodeglobo">
    <w:name w:val="Balloon Text"/>
    <w:basedOn w:val="Normal"/>
    <w:link w:val="TextodegloboCar"/>
    <w:uiPriority w:val="99"/>
    <w:semiHidden/>
    <w:unhideWhenUsed/>
    <w:rsid w:val="005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83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4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620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undesrat" TargetMode="External"/><Relationship Id="rId13" Type="http://schemas.openxmlformats.org/officeDocument/2006/relationships/hyperlink" Target="http://es.wikipedia.org/wiki/Tribunal_de_Justicia_de_la_Uni%C3%B3n_Europea" TargetMode="External"/><Relationship Id="rId18" Type="http://schemas.openxmlformats.org/officeDocument/2006/relationships/hyperlink" Target="http://es.wikipedia.org/wiki/Partido_Socialista_del_Re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Partido_Nacionaldem%C3%B3crata_de_Alemania" TargetMode="External"/><Relationship Id="rId7" Type="http://schemas.openxmlformats.org/officeDocument/2006/relationships/hyperlink" Target="http://es.wikipedia.org/wiki/Bundestag" TargetMode="External"/><Relationship Id="rId12" Type="http://schemas.openxmlformats.org/officeDocument/2006/relationships/hyperlink" Target="http://es.wikipedia.org/wiki/Uni%C3%B3n_Europea" TargetMode="External"/><Relationship Id="rId17" Type="http://schemas.openxmlformats.org/officeDocument/2006/relationships/hyperlink" Target="http://es.wikipedia.org/wiki/Bundesrat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Bundestag" TargetMode="External"/><Relationship Id="rId20" Type="http://schemas.openxmlformats.org/officeDocument/2006/relationships/hyperlink" Target="http://es.wikipedia.org/wiki/Partido_Comunista_de_Alema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Karlsruhe" TargetMode="External"/><Relationship Id="rId11" Type="http://schemas.openxmlformats.org/officeDocument/2006/relationships/hyperlink" Target="http://es.wikipedia.org/wiki/Schleswig-Holste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Tribunal_Constitucional_de_Alemania" TargetMode="External"/><Relationship Id="rId15" Type="http://schemas.openxmlformats.org/officeDocument/2006/relationships/hyperlink" Target="http://es.wikipedia.org/wiki/Organizaci%C3%B3n_territorial_de_Alema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Organizaci%C3%B3n_territorial_de_Alemania" TargetMode="External"/><Relationship Id="rId19" Type="http://schemas.openxmlformats.org/officeDocument/2006/relationships/hyperlink" Target="http://es.wikipedia.org/wiki/NSD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Grundgesetz" TargetMode="External"/><Relationship Id="rId14" Type="http://schemas.openxmlformats.org/officeDocument/2006/relationships/hyperlink" Target="http://es.wikipedia.org/wiki/Bundestag" TargetMode="External"/><Relationship Id="rId22" Type="http://schemas.openxmlformats.org/officeDocument/2006/relationships/hyperlink" Target="http://es.wikipedia.org/wiki/Ley_Org%C3%A1n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2013-06-05T14:26:00Z</dcterms:created>
  <dcterms:modified xsi:type="dcterms:W3CDTF">2015-03-07T01:36:00Z</dcterms:modified>
</cp:coreProperties>
</file>