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290" w:rsidRPr="008630CE" w:rsidRDefault="008630CE">
      <w:pPr>
        <w:rPr>
          <w:b/>
          <w:lang w:val="en-US"/>
        </w:rPr>
      </w:pPr>
      <w:proofErr w:type="spellStart"/>
      <w:r>
        <w:rPr>
          <w:b/>
          <w:lang w:val="en-US"/>
        </w:rPr>
        <w:t>R</w:t>
      </w:r>
      <w:r w:rsidRPr="008630CE">
        <w:rPr>
          <w:b/>
          <w:lang w:val="en-US"/>
        </w:rPr>
        <w:t>epublik</w:t>
      </w:r>
      <w:proofErr w:type="spellEnd"/>
      <w:r w:rsidRPr="008630CE">
        <w:rPr>
          <w:b/>
          <w:lang w:val="en-US"/>
        </w:rPr>
        <w:t xml:space="preserve"> </w:t>
      </w:r>
      <w:proofErr w:type="spellStart"/>
      <w:r w:rsidRPr="008630CE">
        <w:rPr>
          <w:b/>
          <w:lang w:val="en-US"/>
        </w:rPr>
        <w:t>Österreich</w:t>
      </w:r>
      <w:proofErr w:type="spellEnd"/>
    </w:p>
    <w:p w:rsidR="008630CE" w:rsidRPr="008630CE" w:rsidRDefault="008630CE">
      <w:pPr>
        <w:rPr>
          <w:b/>
          <w:lang w:val="en-US"/>
        </w:rPr>
      </w:pPr>
      <w:proofErr w:type="spellStart"/>
      <w:r w:rsidRPr="008630CE">
        <w:rPr>
          <w:b/>
          <w:lang w:val="en-US"/>
        </w:rPr>
        <w:t>Verfassungsgesetze</w:t>
      </w:r>
      <w:proofErr w:type="spellEnd"/>
      <w:r w:rsidRPr="008630CE">
        <w:rPr>
          <w:b/>
          <w:lang w:val="en-US"/>
        </w:rPr>
        <w:t xml:space="preserve"> </w:t>
      </w:r>
      <w:hyperlink r:id="rId4" w:history="1">
        <w:r w:rsidRPr="008630CE">
          <w:rPr>
            <w:rStyle w:val="Hipervnculo"/>
            <w:lang w:val="en-US"/>
          </w:rPr>
          <w:t>http://www.verfassungen.de/at/verfassungheute.htm</w:t>
        </w:r>
      </w:hyperlink>
    </w:p>
    <w:p w:rsidR="008630CE" w:rsidRPr="008630CE" w:rsidRDefault="008630CE" w:rsidP="008630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Bundes-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>Verfassungsgesetz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36"/>
          <w:szCs w:val="36"/>
          <w:lang w:eastAsia="es-AR"/>
        </w:rPr>
        <w:t xml:space="preserve"> (B-VG)</w:t>
      </w:r>
    </w:p>
    <w:p w:rsidR="008630CE" w:rsidRPr="008630CE" w:rsidRDefault="008630CE" w:rsidP="00863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zuletzt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geändert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durch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Bundesgesetz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vom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25.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Juli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2012,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mit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dem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das B-VG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geändert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das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Zahlungsbilanzstabilisierungsgesetz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geändert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(ESM-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Begleitnovelle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) (</w:t>
      </w:r>
      <w:proofErr w:type="spellStart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>BGBl.</w:t>
      </w:r>
      <w:proofErr w:type="spellEnd"/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t xml:space="preserve"> 65/2012)</w:t>
      </w:r>
      <w:r w:rsidRPr="008630CE">
        <w:rPr>
          <w:rFonts w:ascii="Times New Roman" w:eastAsia="Times New Roman" w:hAnsi="Times New Roman" w:cs="Times New Roman"/>
          <w:color w:val="FF0000"/>
          <w:sz w:val="27"/>
          <w:szCs w:val="27"/>
          <w:lang w:eastAsia="es-AR"/>
        </w:rPr>
        <w:br/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weder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das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Gesetz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BGBl.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51/2012 (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teilweise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)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noch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BGBl.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65/2012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sind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Kraft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deshalb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hier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noch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nicht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berücksichtigt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FF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0" w:name="Erstes_Hauptstück_Allgemeine_Bestimmunge"/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Erstes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Hauptstück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Allgemeine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Bestimmungen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Europäische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Union</w:t>
      </w:r>
      <w:bookmarkEnd w:id="0"/>
    </w:p>
    <w:p w:rsidR="008630CE" w:rsidRPr="008630CE" w:rsidRDefault="008630CE" w:rsidP="008630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1" w:name="A._Allgemeine_Bestimmungen"/>
      <w:r w:rsidRPr="008630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AR"/>
        </w:rPr>
        <w:t xml:space="preserve">A.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AR"/>
        </w:rPr>
        <w:t>Allgemeine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es-AR"/>
        </w:rPr>
        <w:t>Bestimmungen</w:t>
      </w:r>
      <w:bookmarkEnd w:id="1"/>
      <w:proofErr w:type="spellEnd"/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2" w:name="Artikel_1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1.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2"/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demokratische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Ihr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Volk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  <w:proofErr w:type="gramEnd"/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3" w:name="Artikel_2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2.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3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Bundesstaat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Bundesstaat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wird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gebildet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selbständigen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Ländern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: Burgenland, Kärnten,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Niederösterreich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Oberösterreich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Salzburg,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Steiermark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Tirol, Vorarlberg, </w:t>
      </w:r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Wien</w:t>
      </w:r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(3)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Änderungen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Bestand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Einschränkung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diesem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Absatz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in Art. </w:t>
      </w:r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3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vorgesehenen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Mitwirkung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bedürfen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verfassungsgesetzlicher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Regelungen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  <w:proofErr w:type="gramEnd"/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bookmarkStart w:id="4" w:name="Artikel_3."/>
      <w:proofErr w:type="spell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3.</w:t>
      </w:r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eastAsia="es-AR"/>
        </w:rPr>
        <w:t> </w:t>
      </w:r>
      <w:bookmarkEnd w:id="4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(1)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Bundesgebiet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umfasst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Gebiete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Staatsverträge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mit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Bundesgrenzen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geändert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dürfen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nur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Zustimmung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betroffenen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abgeschlossen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(3)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Grenzänderungen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innerhalb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Bundesgebietes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bedürfen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übereinstimmender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Gesetze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des Bundes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betroffenen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Für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Grenzbereinigungen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innerhalb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Bundesgebietes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genügen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übereinstimmende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Gesetze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betroffenen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(4)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Sofern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nicht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Grenzbereinigungen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handelt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bedürfen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Beschlüsse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Nationalrates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über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Grenzänderungen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gemäß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Abs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2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3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Anwesenheit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mindestens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Hälfte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Mitglieder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Mehrheit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zwei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Dritteln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abgegebenen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Stimmen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bookmarkStart w:id="5" w:name="Artikel_4."/>
      <w:proofErr w:type="spell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lastRenderedPageBreak/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4.</w:t>
      </w:r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eastAsia="es-AR"/>
        </w:rPr>
        <w:t> </w:t>
      </w:r>
      <w:bookmarkEnd w:id="5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(1)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Bundesgebiet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bildet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einheitliches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Währungs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-,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Wirtschafts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-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Zollgebiet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Innerhalb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des Bundes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dürfen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Zwischenzolllinien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sonstige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Verkehrsbeschränkungen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nicht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errichtet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6" w:name="Artikel_5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5.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6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Bundeshauptstadt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obersten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Organe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Wien.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Für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Dauer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außergewöhnlicher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Verhältnisse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kann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Bundespräsident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auf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Antrag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Bundesregierung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oberster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Organe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anderen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Ort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Bundesgebietes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verlegen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7" w:name="Artikel_6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6.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7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Für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</w:t>
      </w:r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besteht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einheitliche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Staatsbürgerschaft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Jene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Staatsbürger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die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Land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haben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dessen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Landesbürger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;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Landesgesetze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können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jedoch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vorsehen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daß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Staatsbürger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die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Land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nicht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aber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haben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dessen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Landesbürger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(3)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Person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dort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begründet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wo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erweislichen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Umständen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hervorgehenden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Absicht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niedergelassen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hat,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hier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Mittelpunkt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ihrer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Lebensbeziehungen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schaffen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;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trifft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diese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sachliche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Voraussetzung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Gesamtbetrachtung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beruflichen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wirtschaftlichen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gesellschaftlichen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Lebensbeziehungen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Person auf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mehrere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Wohnsitze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so hat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jenen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bezeichnen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überwiegende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Naheverhältnis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hat.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(4) In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Angelegenheiten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Durchführung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Wahl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Bundespräsidenten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Wahlen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allgemeinen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Vertretungskörpern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Europäischen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Parlament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Wahl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Bürgermeisters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durch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Wahl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Gemeinderates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Berechtigten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in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Angelegenheiten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Durchführung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Volksbegehren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Volksabstimmungen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Volksbefragungen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auf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Grund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Bundesverfassung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Landesverfassung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sowie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in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Angelegenheiten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unmittelbaren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Mitwirkung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Gemeinderat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Wahlberechtigten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an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Besorgung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Angelegenheiten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eigenen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Wirkungsbereiches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Gemeinde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gelten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für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Dauer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Festnahme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Anhaltung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Bundesverfassungsgesetzes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über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Schutz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persönlichen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Freiheit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BGBl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Nr. 684/1988,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letzten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Wohnsitze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letzte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Festnahme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Anhaltung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Wohnsitze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beziehungsweise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Hauptwohnsitz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festgenommenen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angehaltenen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Person.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</w:pPr>
      <w:bookmarkStart w:id="8" w:name="Artikel_7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7.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8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Alle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Staatsbürger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Gesetz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gleich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Vorrechte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der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Geburt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,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Geschlechtes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,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Standes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, der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Klasse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Bekenntnisses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sind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ausgeschlossen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Niemand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darf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wegen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seiner</w:t>
      </w:r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Behinderung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benachteiligt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.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(Bund, </w:t>
      </w: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lastRenderedPageBreak/>
        <w:t xml:space="preserve">Länder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Gemeinden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bekennt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sich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dazu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,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Gleichbehandlung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von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behinderten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nicht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behinderten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Menschen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allen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Bereichen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täglichen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Lebens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gewährleisten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(2) Bund,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Gemeinden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bekennen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tatsächlichen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Gleichstellung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von Mann und Frau.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Maßnahmen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Förderung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faktischen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Gleichstellung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von Frauen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Männern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insbesondere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durch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Beseitigung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tatsächlich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bestehender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Ungleichheiten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zulässig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(3)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Amtsbezeichnungen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können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Form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verwendet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die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Geschlecht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Amtsinhabers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oder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Amtsinhaberin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Ausdruck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bringt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Gleiches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gilt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für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Titel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akademische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Grade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Berufsbezeichnungen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(4)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öffentlichen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Bediensteten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einschließlich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Angehörigen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Bundesheeres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ungeschmälerte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Ausübung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ihrer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politischen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Rechte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gewährleistet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9" w:name="Artikel_8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8.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9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Die deutsche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Sprache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unbeschadet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sprachlichen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Minderheiten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bundesgesetzlich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eingeräumten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Rechte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Staatssprache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(2)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(Bund,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Länder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Gemeinden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bekennt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ihrer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gewachsenen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sprachlichen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kulturellen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Vielfalt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,</w:t>
      </w:r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in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autochthonen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Volksgruppen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Ausdruck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kommt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Sprache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Kultur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Bestand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Erhaltung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dieser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Volksgruppen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achten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sichern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fördern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(3)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Österreichische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Gebärdensprache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eigenständige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Sprache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anerkannt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Nähere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bestimmen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Gesetze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proofErr w:type="spellStart"/>
      <w:proofErr w:type="gram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siehe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auch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lang w:val="en-US" w:eastAsia="es-AR"/>
        </w:rPr>
        <w:t> </w:t>
      </w:r>
      <w:hyperlink r:id="rId5" w:anchor="35" w:history="1"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 xml:space="preserve">Art. </w:t>
        </w:r>
        <w:proofErr w:type="gramStart"/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 xml:space="preserve">66 des </w:t>
        </w:r>
        <w:proofErr w:type="spellStart"/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>Staatsvertrags</w:t>
        </w:r>
        <w:proofErr w:type="spellEnd"/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 xml:space="preserve"> von St-</w:t>
        </w:r>
        <w:proofErr w:type="spellStart"/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>Germain</w:t>
        </w:r>
        <w:proofErr w:type="spellEnd"/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>-en-</w:t>
        </w:r>
        <w:proofErr w:type="spellStart"/>
        <w:r w:rsidRPr="008630CE">
          <w:rPr>
            <w:rFonts w:ascii="Times New Roman" w:eastAsia="Times New Roman" w:hAnsi="Times New Roman" w:cs="Times New Roman"/>
            <w:i/>
            <w:iCs/>
            <w:color w:val="0000FF"/>
            <w:sz w:val="20"/>
            <w:u w:val="single"/>
            <w:lang w:val="en-US" w:eastAsia="es-AR"/>
          </w:rPr>
          <w:t>Laye</w:t>
        </w:r>
        <w:proofErr w:type="spellEnd"/>
      </w:hyperlink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lang w:val="en-US" w:eastAsia="es-AR"/>
        </w:rPr>
        <w:t> 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sowie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7 des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Staatsvertrags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von Wien;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es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gibt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in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einzelnen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Gesetzen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auch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weiteren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verfassungsgesetzlichen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Minderheitenschutz</w:t>
      </w:r>
      <w:proofErr w:type="spellEnd"/>
      <w:r w:rsidRPr="008630CE">
        <w:rPr>
          <w:rFonts w:ascii="Times New Roman" w:eastAsia="Times New Roman" w:hAnsi="Times New Roman" w:cs="Times New Roman"/>
          <w:i/>
          <w:iCs/>
          <w:color w:val="CC33CC"/>
          <w:sz w:val="20"/>
          <w:szCs w:val="20"/>
          <w:lang w:val="en-US" w:eastAsia="es-AR"/>
        </w:rPr>
        <w:t>.</w:t>
      </w:r>
      <w:proofErr w:type="gramEnd"/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10" w:name="Artikel_8a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8a.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10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Farben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rot-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weiß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-rot.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Flagge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besteht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drei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gleichbreiten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waagrechten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Streifen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mittlere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weiß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obere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untere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rot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sind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(2)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Wappen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(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Bundeswappen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besteht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frei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schwebenden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einköpfigen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schwarzen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golden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gewaffneten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rot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bezungten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Adler,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dessen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Brust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roten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silbernen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Querbalken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durchzogenen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Schild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belegt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Adler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trägt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auf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seinem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Haupt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goldene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Mauerkrone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drei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sichtbaren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Zinnen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beiden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Fänge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umschließt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gesprengte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Eisenkette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trägt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rechten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Fang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goldene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Sichel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einwärts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gekehrter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Schneide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br/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linken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Fang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goldenen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Hammer.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(3)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Nähere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Bestimmungen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insbesondere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über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Schutz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Farben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Wappens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sowie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über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das Siegel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Republik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durch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Bundesgesetz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getroffen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bookmarkStart w:id="11" w:name="Artikel_9."/>
      <w:proofErr w:type="spellStart"/>
      <w:proofErr w:type="gram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lastRenderedPageBreak/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es-AR"/>
        </w:rPr>
        <w:t xml:space="preserve"> 9.</w:t>
      </w:r>
      <w:proofErr w:type="gram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es-AR"/>
        </w:rPr>
        <w:t> </w:t>
      </w:r>
      <w:bookmarkEnd w:id="11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(1)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allgemein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anerkannten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Regeln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Völkerrechtes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gelten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als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Bestandteile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Bundesrechtes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Durch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Gesetz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durch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gemäß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Art. 50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Abs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1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genehmigten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Staatsvertrag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können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einzelne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Hoheitsrechte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auf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andere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Staaten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zwischenstaatliche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Einrichtungen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übertragen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In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gleicher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Weise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können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Tätigkeit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Organen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anderer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Staaten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zwischenstaatlichen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Einrichtungen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Inland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Tätigkeit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österreichischer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Organe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Ausland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geregelt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sowie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Übertragung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einzelner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Hoheitsrechte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anderer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Staaten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zwischenstaatlicher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Einrichtungen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auf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österreichische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Organe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vorgesehen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Dabei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kann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vorgesehen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dass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österreichische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Organe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Weisungsbefugnis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anderer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Staaten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zwischenstaatlichen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Einrichtungen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diese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Weisungsbefugnis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österreichischer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Organe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unterstellt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werden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bookmarkStart w:id="12" w:name="Artikel_9a."/>
      <w:proofErr w:type="spellStart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>Artikel</w:t>
      </w:r>
      <w:proofErr w:type="spellEnd"/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s-AR"/>
        </w:rPr>
        <w:t xml:space="preserve"> 9a.</w:t>
      </w:r>
      <w:r w:rsidRPr="008630CE">
        <w:rPr>
          <w:rFonts w:ascii="Times New Roman" w:eastAsia="Times New Roman" w:hAnsi="Times New Roman" w:cs="Times New Roman"/>
          <w:b/>
          <w:bCs/>
          <w:color w:val="000000"/>
          <w:sz w:val="27"/>
          <w:lang w:eastAsia="es-AR"/>
        </w:rPr>
        <w:t> </w:t>
      </w:r>
      <w:bookmarkEnd w:id="12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(1)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Österreich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bekennt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sich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umfassenden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Landesverteidigung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Ihre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Aufgabe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es,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Unabhängigkeit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nach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außen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sowie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Unverletzlichkeit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Einheit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des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Bundesgebietes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bewahren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insbesondere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Aufrechterhaltung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Verteidigung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immerwährenden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Neutralität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Hiebei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sind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auch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 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verfassungsmäßigen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Einrichtungen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ihre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Handlungsfähigkeit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sowie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demokratischen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Freiheiten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Einwohner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vor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gewaltsamen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Angriffen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von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außen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schützen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verteidigen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(2)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Zur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umfassenden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Landesverteidigung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gehören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militärische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geistige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,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zivile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und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wirtschaftliche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Landesverteidigung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(3)</w:t>
      </w:r>
      <w:r w:rsidRPr="008630CE">
        <w:rPr>
          <w:rFonts w:ascii="Times New Roman" w:eastAsia="Times New Roman" w:hAnsi="Times New Roman" w:cs="Times New Roman"/>
          <w:color w:val="000000"/>
          <w:sz w:val="27"/>
          <w:lang w:val="en-US" w:eastAsia="es-AR"/>
        </w:rPr>
        <w:t> 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Jeder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männliche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Staatsbürger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ist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wehrpflichtig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.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Staatsbürgerinnen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können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freiwillig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Dienst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im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Bundesheer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proofErr w:type="gram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als</w:t>
      </w:r>
      <w:proofErr w:type="spellEnd"/>
      <w:proofErr w:type="gram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Soldatinnen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leisten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haben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das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Recht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diesen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Dienst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beenden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.</w:t>
      </w:r>
    </w:p>
    <w:p w:rsidR="008630CE" w:rsidRPr="008630CE" w:rsidRDefault="008630CE" w:rsidP="008630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</w:pPr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(4)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Erfüllung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der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Wehrpflicht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aus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Gewissensgründen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verweigert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und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hievon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befreit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wird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hat die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Pflicht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,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einen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Ersatzdienst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(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Zivildienst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)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zu</w:t>
      </w:r>
      <w:proofErr w:type="spellEnd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 xml:space="preserve"> </w:t>
      </w:r>
      <w:proofErr w:type="spellStart"/>
      <w:r w:rsidRPr="008630CE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es-AR"/>
        </w:rPr>
        <w:t>leisten</w:t>
      </w:r>
      <w:proofErr w:type="spellEnd"/>
    </w:p>
    <w:p w:rsidR="008630CE" w:rsidRPr="008630CE" w:rsidRDefault="008630CE">
      <w:pPr>
        <w:rPr>
          <w:b/>
          <w:color w:val="E36C0A" w:themeColor="accent6" w:themeShade="BF"/>
          <w:sz w:val="28"/>
          <w:szCs w:val="28"/>
        </w:rPr>
      </w:pPr>
      <w:r w:rsidRPr="008630CE">
        <w:rPr>
          <w:b/>
          <w:color w:val="E36C0A" w:themeColor="accent6" w:themeShade="BF"/>
        </w:rPr>
        <w:t xml:space="preserve">  </w:t>
      </w:r>
      <w:r w:rsidRPr="008630CE">
        <w:rPr>
          <w:b/>
          <w:color w:val="E36C0A" w:themeColor="accent6" w:themeShade="BF"/>
          <w:sz w:val="28"/>
          <w:szCs w:val="28"/>
        </w:rPr>
        <w:t>[Nota</w:t>
      </w:r>
      <w:proofErr w:type="gramStart"/>
      <w:r w:rsidRPr="008630CE">
        <w:rPr>
          <w:b/>
          <w:color w:val="E36C0A" w:themeColor="accent6" w:themeShade="BF"/>
          <w:sz w:val="28"/>
          <w:szCs w:val="28"/>
        </w:rPr>
        <w:t>:  continúan</w:t>
      </w:r>
      <w:proofErr w:type="gramEnd"/>
      <w:r w:rsidRPr="008630CE">
        <w:rPr>
          <w:b/>
          <w:color w:val="E36C0A" w:themeColor="accent6" w:themeShade="BF"/>
          <w:sz w:val="28"/>
          <w:szCs w:val="28"/>
        </w:rPr>
        <w:t xml:space="preserve"> normas sobre derechos fundamentales, organizaci</w:t>
      </w:r>
      <w:r>
        <w:rPr>
          <w:b/>
          <w:color w:val="E36C0A" w:themeColor="accent6" w:themeShade="BF"/>
          <w:sz w:val="28"/>
          <w:szCs w:val="28"/>
        </w:rPr>
        <w:t>ón y autoridades del Estado etc.]</w:t>
      </w:r>
    </w:p>
    <w:sectPr w:rsidR="008630CE" w:rsidRPr="008630CE" w:rsidSect="008630CE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0CE"/>
    <w:rsid w:val="008630CE"/>
    <w:rsid w:val="00DF2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2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8630CE"/>
  </w:style>
  <w:style w:type="character" w:styleId="Hipervnculo">
    <w:name w:val="Hyperlink"/>
    <w:basedOn w:val="Fuentedeprrafopredeter"/>
    <w:uiPriority w:val="99"/>
    <w:semiHidden/>
    <w:unhideWhenUsed/>
    <w:rsid w:val="008630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sailler-vertrag.de/svsg/3.htm" TargetMode="External"/><Relationship Id="rId4" Type="http://schemas.openxmlformats.org/officeDocument/2006/relationships/hyperlink" Target="http://www.verfassungen.de/at/verfassungheute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1317</Words>
  <Characters>7247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2013-04-19T19:28:00Z</dcterms:created>
  <dcterms:modified xsi:type="dcterms:W3CDTF">2013-04-19T19:35:00Z</dcterms:modified>
</cp:coreProperties>
</file>