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00" w:rsidRPr="00B16400" w:rsidRDefault="00B16400" w:rsidP="00B16400">
      <w:pPr>
        <w:pStyle w:val="NormalWeb"/>
        <w:spacing w:before="0" w:beforeAutospacing="0" w:after="0" w:afterAutospacing="0"/>
        <w:rPr>
          <w:lang w:val="de-DE"/>
        </w:rPr>
      </w:pPr>
      <w:r>
        <w:rPr>
          <w:lang w:val="de-DE"/>
        </w:rPr>
        <w:t>Lectura</w:t>
      </w:r>
      <w:r>
        <w:rPr>
          <w:rStyle w:val="apple-converted-space"/>
          <w:lang w:val="de-DE"/>
        </w:rPr>
        <w:t> </w:t>
      </w:r>
      <w:r>
        <w:rPr>
          <w:u w:val="single"/>
          <w:lang w:val="de-DE"/>
        </w:rPr>
        <w:t>4  A</w:t>
      </w:r>
      <w:r>
        <w:rPr>
          <w:lang w:val="de-DE"/>
        </w:rPr>
        <w:t>lemán jurídico 2015</w:t>
      </w:r>
    </w:p>
    <w:p w:rsidR="00B16400" w:rsidRPr="00B16400" w:rsidRDefault="00B16400" w:rsidP="00B16400">
      <w:pPr>
        <w:pStyle w:val="NormalWeb"/>
        <w:spacing w:before="0" w:beforeAutospacing="0" w:after="0" w:afterAutospacing="0"/>
        <w:rPr>
          <w:lang w:val="de-DE"/>
        </w:rPr>
      </w:pPr>
      <w:r>
        <w:rPr>
          <w:u w:val="single"/>
          <w:lang w:val="de-DE"/>
        </w:rPr>
        <w:t>Allgemeines über das Grundgesetz für die Bundesrepublik Deutschland vom 23. Mai 1949</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lang w:val="de-DE"/>
        </w:rPr>
        <w:t>Wieso heißt es „Grundgesetz“ statt „Verfassung“?-Diese Bezeichnung betont den provisorischen Charakter des Textes.- Siehe Artikel 146 GG.</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u w:val="single"/>
          <w:lang w:val="de-DE"/>
        </w:rPr>
        <w:t>Struktur des Dokumentes:</w:t>
      </w:r>
      <w:r>
        <w:rPr>
          <w:rStyle w:val="apple-converted-space"/>
          <w:lang w:val="de-DE"/>
        </w:rPr>
        <w:t> </w:t>
      </w:r>
      <w:r>
        <w:rPr>
          <w:lang w:val="de-DE"/>
        </w:rPr>
        <w:t>Eine Präambel und zwölf Kapitel (nach Einfügung des Kapitels Xa). Jedes Kapitel, auch „Abschnitt“ genannt, besteht aus „Artikeln“; jeder Artikel kann Absätze aufweisen; ein Absatz kann mehrere Sätze enthalten.  Die Artikel sind von 1 bis 146 nummeriert. Dazu kommen noch 5 Artikel, die direkt von der Weimarer Verfassung des Jahres 1919 übernommen wurden.</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lang w:val="de-DE"/>
        </w:rPr>
        <w:t>I. Grundrechte : Fundamentalrechte des Menschen und des Bürgers, droits de l’homme et du citoyen: </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lang w:val="de-DE"/>
        </w:rPr>
        <w:t>Art 1: Die Würde des Menschen ist unantastbar. [</w:t>
      </w:r>
      <w:r>
        <w:rPr>
          <w:b/>
          <w:bCs/>
          <w:lang w:val="de-DE"/>
        </w:rPr>
        <w:t>antasten:</w:t>
      </w:r>
      <w:r>
        <w:rPr>
          <w:rStyle w:val="apple-converted-space"/>
          <w:lang w:val="de-DE"/>
        </w:rPr>
        <w:t> </w:t>
      </w:r>
      <w:r>
        <w:rPr>
          <w:rFonts w:ascii="Helvetica" w:hAnsi="Helvetica" w:cs="Helvetica"/>
          <w:sz w:val="18"/>
          <w:szCs w:val="18"/>
          <w:lang w:val="de-DE"/>
        </w:rPr>
        <w:t>unberechtigt berühren, verletzen ] [daneben steht </w:t>
      </w:r>
      <w:r>
        <w:rPr>
          <w:rFonts w:ascii="Helvetica" w:hAnsi="Helvetica" w:cs="Helvetica"/>
          <w:b/>
          <w:bCs/>
          <w:i/>
          <w:iCs/>
          <w:sz w:val="18"/>
          <w:szCs w:val="18"/>
          <w:lang w:val="de-DE"/>
        </w:rPr>
        <w:t>Würde</w:t>
      </w:r>
      <w:r>
        <w:rPr>
          <w:rFonts w:ascii="Helvetica" w:hAnsi="Helvetica" w:cs="Helvetica"/>
          <w:b/>
          <w:bCs/>
          <w:sz w:val="18"/>
          <w:szCs w:val="18"/>
          <w:lang w:val="de-DE"/>
        </w:rPr>
        <w:t> </w:t>
      </w:r>
      <w:r>
        <w:rPr>
          <w:rFonts w:ascii="Helvetica" w:hAnsi="Helvetica" w:cs="Helvetica"/>
          <w:sz w:val="18"/>
          <w:szCs w:val="18"/>
          <w:lang w:val="de-DE"/>
        </w:rPr>
        <w:t>für den ‘Wert eines Menschen, der in seinem Wesen, seinen Eigenschaften und Leistungen beruht’. Um die Mitte des 18. Jhs. entwickelt sich </w:t>
      </w:r>
      <w:r>
        <w:rPr>
          <w:rFonts w:ascii="Helvetica" w:hAnsi="Helvetica" w:cs="Helvetica"/>
          <w:i/>
          <w:iCs/>
          <w:sz w:val="18"/>
          <w:szCs w:val="18"/>
          <w:lang w:val="de-DE"/>
        </w:rPr>
        <w:t>Würde</w:t>
      </w:r>
      <w:r>
        <w:rPr>
          <w:rFonts w:ascii="Helvetica" w:hAnsi="Helvetica" w:cs="Helvetica"/>
          <w:sz w:val="18"/>
          <w:szCs w:val="18"/>
          <w:lang w:val="de-DE"/>
        </w:rPr>
        <w:t> unter dem Einfluß der idealistischen Philosophie und Ethik (Kant, Schiller) zur Bezeichnung für den ‘von allen Äußerlichkeiten unabhängigen inneren, absoluten Wert des Menschen, der sich in seinem (ethischen) Denken und Verhalten äußert’, daher häufig in Verbindungen wie </w:t>
      </w:r>
      <w:r>
        <w:rPr>
          <w:rFonts w:ascii="Helvetica" w:hAnsi="Helvetica" w:cs="Helvetica"/>
          <w:i/>
          <w:iCs/>
          <w:sz w:val="18"/>
          <w:szCs w:val="18"/>
          <w:lang w:val="de-DE"/>
        </w:rPr>
        <w:t>Würde der Menschheit</w:t>
      </w:r>
      <w:r>
        <w:rPr>
          <w:rFonts w:ascii="Helvetica" w:hAnsi="Helvetica" w:cs="Helvetica"/>
          <w:sz w:val="18"/>
          <w:szCs w:val="18"/>
          <w:lang w:val="de-DE"/>
        </w:rPr>
        <w:t>, </w:t>
      </w:r>
      <w:r>
        <w:rPr>
          <w:rFonts w:ascii="Helvetica" w:hAnsi="Helvetica" w:cs="Helvetica"/>
          <w:i/>
          <w:iCs/>
          <w:sz w:val="18"/>
          <w:szCs w:val="18"/>
          <w:lang w:val="de-DE"/>
        </w:rPr>
        <w:t>des Menschen</w:t>
      </w:r>
      <w:r>
        <w:rPr>
          <w:rFonts w:ascii="Helvetica" w:hAnsi="Helvetica" w:cs="Helvetica"/>
          <w:sz w:val="18"/>
          <w:szCs w:val="18"/>
          <w:lang w:val="de-DE"/>
        </w:rPr>
        <w:t> (18. Jh.).]=</w:t>
      </w:r>
      <w:r>
        <w:rPr>
          <w:rFonts w:ascii="Helvetica" w:hAnsi="Helvetica" w:cs="Helvetica"/>
          <w:b/>
          <w:bCs/>
          <w:sz w:val="18"/>
          <w:szCs w:val="18"/>
          <w:lang w:val="de-DE"/>
        </w:rPr>
        <w:t>la dignidad humana.</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rFonts w:ascii="Helvetica" w:hAnsi="Helvetica" w:cs="Helvetica"/>
          <w:sz w:val="18"/>
          <w:szCs w:val="18"/>
          <w:lang w:val="de-DE"/>
        </w:rPr>
        <w:t>Art 2: Jeder hat das Recht auf Leben, Freiheit, körperliche Unversehrtheit und auf freie Entfaltung seiner Persönlichkeit. [</w:t>
      </w:r>
      <w:r>
        <w:rPr>
          <w:rFonts w:ascii="Helvetica" w:hAnsi="Helvetica" w:cs="Helvetica"/>
          <w:b/>
          <w:bCs/>
          <w:sz w:val="18"/>
          <w:szCs w:val="18"/>
          <w:lang w:val="de-DE"/>
        </w:rPr>
        <w:t>Unversehrtheit: unversehrt</w:t>
      </w:r>
      <w:r>
        <w:rPr>
          <w:rFonts w:ascii="Helvetica" w:hAnsi="Helvetica" w:cs="Helvetica"/>
          <w:sz w:val="18"/>
          <w:szCs w:val="18"/>
          <w:lang w:val="de-DE"/>
        </w:rPr>
        <w:t> Adj. ‘unverletzt, nicht verwundet, unbeschädigt’] –</w:t>
      </w:r>
      <w:r>
        <w:rPr>
          <w:rStyle w:val="apple-converted-space"/>
          <w:rFonts w:ascii="Helvetica" w:hAnsi="Helvetica" w:cs="Helvetica"/>
          <w:sz w:val="18"/>
          <w:szCs w:val="18"/>
          <w:lang w:val="de-DE"/>
        </w:rPr>
        <w:t> </w:t>
      </w:r>
      <w:r>
        <w:rPr>
          <w:rFonts w:ascii="Helvetica" w:hAnsi="Helvetica" w:cs="Helvetica"/>
          <w:sz w:val="18"/>
          <w:szCs w:val="18"/>
          <w:u w:val="single"/>
          <w:lang w:val="de-DE"/>
        </w:rPr>
        <w:t>Tema literario afín:</w:t>
      </w:r>
      <w:r>
        <w:rPr>
          <w:rStyle w:val="apple-converted-space"/>
          <w:rFonts w:ascii="Helvetica" w:hAnsi="Helvetica" w:cs="Helvetica"/>
          <w:sz w:val="18"/>
          <w:szCs w:val="18"/>
          <w:u w:val="single"/>
          <w:lang w:val="de-DE"/>
        </w:rPr>
        <w:t> </w:t>
      </w:r>
      <w:r>
        <w:rPr>
          <w:rFonts w:ascii="Helvetica" w:hAnsi="Helvetica" w:cs="Helvetica"/>
          <w:sz w:val="18"/>
          <w:szCs w:val="18"/>
          <w:lang w:val="de-DE"/>
        </w:rPr>
        <w:t>leer y comentar</w:t>
      </w:r>
      <w:r>
        <w:rPr>
          <w:rStyle w:val="apple-converted-space"/>
          <w:rFonts w:ascii="Helvetica" w:hAnsi="Helvetica" w:cs="Helvetica"/>
          <w:sz w:val="18"/>
          <w:szCs w:val="18"/>
          <w:lang w:val="de-DE"/>
        </w:rPr>
        <w:t> </w:t>
      </w:r>
      <w:hyperlink r:id="rId4" w:history="1">
        <w:r>
          <w:rPr>
            <w:rStyle w:val="Hipervnculo"/>
            <w:lang w:val="de-DE"/>
          </w:rPr>
          <w:t>https://reyaller.wordpress.com/2014/12/02/duelo-zweikampf-hildebrandslied</w:t>
        </w:r>
      </w:hyperlink>
      <w:r>
        <w:rPr>
          <w:rFonts w:ascii="Helvetica" w:hAnsi="Helvetica" w:cs="Helvetica"/>
          <w:sz w:val="18"/>
          <w:szCs w:val="18"/>
          <w:lang w:val="de-DE"/>
        </w:rPr>
        <w:t>  y</w:t>
      </w:r>
      <w:r>
        <w:rPr>
          <w:rStyle w:val="apple-converted-space"/>
          <w:rFonts w:ascii="Helvetica" w:hAnsi="Helvetica" w:cs="Helvetica"/>
          <w:sz w:val="18"/>
          <w:szCs w:val="18"/>
          <w:lang w:val="de-DE"/>
        </w:rPr>
        <w:t> </w:t>
      </w:r>
      <w:hyperlink r:id="rId5" w:history="1">
        <w:r>
          <w:rPr>
            <w:rStyle w:val="Hipervnculo"/>
            <w:lang w:val="de-DE"/>
          </w:rPr>
          <w:t>https://analfa.wordpress.com/2014/12/03/derecho-a-la-vida-singular-combate-justas-torneos-duelos-cantares-de-gesta</w:t>
        </w:r>
      </w:hyperlink>
      <w:r>
        <w:rPr>
          <w:rStyle w:val="apple-converted-space"/>
          <w:rFonts w:ascii="Helvetica" w:hAnsi="Helvetica" w:cs="Helvetica"/>
          <w:sz w:val="18"/>
          <w:szCs w:val="18"/>
          <w:lang w:val="de-DE"/>
        </w:rPr>
        <w:t> </w:t>
      </w:r>
      <w:r>
        <w:rPr>
          <w:rFonts w:ascii="Helvetica" w:hAnsi="Helvetica" w:cs="Helvetica"/>
          <w:sz w:val="18"/>
          <w:szCs w:val="18"/>
          <w:lang w:val="de-DE"/>
        </w:rPr>
        <w:t>.-</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rFonts w:ascii="Helvetica" w:hAnsi="Helvetica" w:cs="Helvetica"/>
          <w:sz w:val="18"/>
          <w:szCs w:val="18"/>
          <w:lang w:val="de-DE"/>
        </w:rPr>
        <w:t>Art 3: Alle Menschen sind vor dem Gesetz gleich.  Männer und Frauen sind gleichberechtigt.</w:t>
      </w:r>
      <w:r>
        <w:rPr>
          <w:rStyle w:val="apple-converted-space"/>
          <w:rFonts w:ascii="Helvetica" w:hAnsi="Helvetica" w:cs="Helvetica"/>
          <w:sz w:val="18"/>
          <w:szCs w:val="18"/>
          <w:lang w:val="de-DE"/>
        </w:rPr>
        <w:t> </w:t>
      </w:r>
      <w:r>
        <w:rPr>
          <w:rFonts w:ascii="Helvetica" w:hAnsi="Helvetica" w:cs="Helvetica"/>
          <w:b/>
          <w:bCs/>
          <w:sz w:val="18"/>
          <w:szCs w:val="18"/>
          <w:lang w:val="de-DE"/>
        </w:rPr>
        <w:t>[die Gleichberechtigung]</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rFonts w:ascii="Helvetica" w:hAnsi="Helvetica" w:cs="Helvetica"/>
          <w:sz w:val="18"/>
          <w:szCs w:val="18"/>
          <w:lang w:val="de-DE"/>
        </w:rPr>
        <w:t>Art 4: Glaubens- und Gewissensfreiheit. Weigerung des Kriegsdienstes mit Waffen.Ungestörte Religionsausübung. [</w:t>
      </w:r>
      <w:r>
        <w:rPr>
          <w:rFonts w:ascii="Helvetica" w:hAnsi="Helvetica" w:cs="Helvetica"/>
          <w:b/>
          <w:bCs/>
          <w:sz w:val="18"/>
          <w:szCs w:val="18"/>
          <w:lang w:val="de-DE"/>
        </w:rPr>
        <w:t>das Gewissen:</w:t>
      </w:r>
      <w:r>
        <w:rPr>
          <w:rStyle w:val="apple-converted-space"/>
          <w:rFonts w:ascii="Helvetica" w:hAnsi="Helvetica" w:cs="Helvetica"/>
          <w:sz w:val="18"/>
          <w:szCs w:val="18"/>
          <w:lang w:val="de-DE"/>
        </w:rPr>
        <w:t> </w:t>
      </w:r>
      <w:r>
        <w:rPr>
          <w:rFonts w:ascii="Helvetica" w:hAnsi="Helvetica" w:cs="Helvetica"/>
          <w:sz w:val="18"/>
          <w:szCs w:val="18"/>
          <w:lang w:val="de-DE"/>
        </w:rPr>
        <w:t>lat. </w:t>
      </w:r>
      <w:r>
        <w:rPr>
          <w:rFonts w:ascii="Helvetica" w:hAnsi="Helvetica" w:cs="Helvetica"/>
          <w:i/>
          <w:iCs/>
          <w:sz w:val="18"/>
          <w:szCs w:val="18"/>
          <w:lang w:val="de-DE"/>
        </w:rPr>
        <w:t>cōnscientia</w:t>
      </w:r>
      <w:r>
        <w:rPr>
          <w:rFonts w:ascii="Helvetica" w:hAnsi="Helvetica" w:cs="Helvetica"/>
          <w:sz w:val="18"/>
          <w:szCs w:val="18"/>
          <w:lang w:val="de-DE"/>
        </w:rPr>
        <w:t> ‘Bewußtsein moralischer Handlungen’ -</w:t>
      </w:r>
      <w:r>
        <w:rPr>
          <w:rStyle w:val="apple-converted-space"/>
          <w:rFonts w:ascii="Helvetica" w:hAnsi="Helvetica" w:cs="Helvetica"/>
          <w:sz w:val="18"/>
          <w:szCs w:val="18"/>
          <w:lang w:val="de-DE"/>
        </w:rPr>
        <w:t> </w:t>
      </w:r>
      <w:r>
        <w:rPr>
          <w:rFonts w:ascii="Helvetica" w:hAnsi="Helvetica" w:cs="Helvetica"/>
          <w:sz w:val="18"/>
          <w:szCs w:val="18"/>
          <w:lang w:val="de-DE"/>
        </w:rPr>
        <w:t> Der Begriff des Gewissens entsteht im antiken Griechenland aus der Vorstellung, daß es für alle Handlungen und Verhaltensweisen gegenüber Göttern und Menschen einen inneren „Mitwisser“ gibt – „el que sabe con“]</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rFonts w:ascii="Helvetica" w:hAnsi="Helvetica" w:cs="Helvetica"/>
          <w:sz w:val="18"/>
          <w:szCs w:val="18"/>
          <w:lang w:val="de-DE"/>
        </w:rPr>
        <w:t>Art 5: Seine Meinung in Wort, Schrift und Bild frei äusern und zu verbreiten. Pressefreiheit.- Die Freiheit der Lehre entbindet nicht von der Treue zur Verfassung. [</w:t>
      </w:r>
      <w:r>
        <w:rPr>
          <w:rFonts w:ascii="Helvetica" w:hAnsi="Helvetica" w:cs="Helvetica"/>
          <w:b/>
          <w:bCs/>
          <w:sz w:val="18"/>
          <w:szCs w:val="18"/>
          <w:lang w:val="de-DE"/>
        </w:rPr>
        <w:t>entbinden</w:t>
      </w:r>
      <w:r>
        <w:rPr>
          <w:rFonts w:ascii="Helvetica" w:hAnsi="Helvetica" w:cs="Helvetica"/>
          <w:sz w:val="18"/>
          <w:szCs w:val="18"/>
          <w:lang w:val="de-DE"/>
        </w:rPr>
        <w:t> Vb. ‘lossprechen, befreien’, auch ‘gebären’, lösen, befreien, einer Verpflichtung entheben’] –</w:t>
      </w:r>
      <w:r>
        <w:rPr>
          <w:rStyle w:val="apple-converted-space"/>
          <w:rFonts w:ascii="Helvetica" w:hAnsi="Helvetica" w:cs="Helvetica"/>
          <w:sz w:val="18"/>
          <w:szCs w:val="18"/>
          <w:lang w:val="de-DE"/>
        </w:rPr>
        <w:t> </w:t>
      </w:r>
      <w:r>
        <w:rPr>
          <w:rFonts w:ascii="Helvetica" w:hAnsi="Helvetica" w:cs="Helvetica"/>
          <w:sz w:val="18"/>
          <w:szCs w:val="18"/>
          <w:u w:val="single"/>
          <w:lang w:val="de-DE"/>
        </w:rPr>
        <w:t>Tema literario-musical afín:</w:t>
      </w:r>
      <w:r>
        <w:rPr>
          <w:rStyle w:val="apple-converted-space"/>
          <w:rFonts w:ascii="Helvetica" w:hAnsi="Helvetica" w:cs="Helvetica"/>
          <w:sz w:val="18"/>
          <w:szCs w:val="18"/>
          <w:u w:val="single"/>
          <w:lang w:val="de-DE"/>
        </w:rPr>
        <w:t> </w:t>
      </w:r>
      <w:r>
        <w:rPr>
          <w:rFonts w:ascii="Helvetica" w:hAnsi="Helvetica" w:cs="Helvetica"/>
          <w:b/>
          <w:bCs/>
          <w:sz w:val="18"/>
          <w:szCs w:val="18"/>
          <w:lang w:val="de-DE"/>
        </w:rPr>
        <w:t>Die Gedanken sind frei,</w:t>
      </w:r>
      <w:r>
        <w:rPr>
          <w:rStyle w:val="apple-converted-space"/>
          <w:rFonts w:ascii="Helvetica" w:hAnsi="Helvetica" w:cs="Helvetica"/>
          <w:b/>
          <w:bCs/>
          <w:sz w:val="18"/>
          <w:szCs w:val="18"/>
          <w:lang w:val="de-DE"/>
        </w:rPr>
        <w:t> </w:t>
      </w:r>
      <w:r>
        <w:rPr>
          <w:rFonts w:ascii="Helvetica" w:hAnsi="Helvetica" w:cs="Helvetica"/>
          <w:sz w:val="18"/>
          <w:szCs w:val="18"/>
          <w:lang w:val="de-DE"/>
        </w:rPr>
        <w:t>leer y comentar</w:t>
      </w:r>
      <w:r>
        <w:rPr>
          <w:rStyle w:val="apple-converted-space"/>
          <w:rFonts w:ascii="Helvetica" w:hAnsi="Helvetica" w:cs="Helvetica"/>
          <w:sz w:val="18"/>
          <w:szCs w:val="18"/>
          <w:lang w:val="de-DE"/>
        </w:rPr>
        <w:t> </w:t>
      </w:r>
      <w:hyperlink r:id="rId6" w:history="1">
        <w:r>
          <w:rPr>
            <w:rStyle w:val="Hipervnculo"/>
            <w:b/>
            <w:bCs/>
            <w:lang w:val="de-DE"/>
          </w:rPr>
          <w:t>https://analfa.wordpress.com/2014/11/24/los-pensamientos-son-libres-%C2%AC-cancion-popular-y-politica</w:t>
        </w:r>
      </w:hyperlink>
      <w:r>
        <w:rPr>
          <w:rStyle w:val="apple-converted-space"/>
          <w:rFonts w:ascii="Helvetica" w:hAnsi="Helvetica" w:cs="Helvetica"/>
          <w:b/>
          <w:bCs/>
          <w:sz w:val="18"/>
          <w:szCs w:val="18"/>
          <w:lang w:val="de-DE"/>
        </w:rPr>
        <w:t> </w:t>
      </w:r>
      <w:r>
        <w:rPr>
          <w:rFonts w:ascii="Helvetica" w:hAnsi="Helvetica" w:cs="Helvetica"/>
          <w:b/>
          <w:bCs/>
          <w:sz w:val="18"/>
          <w:szCs w:val="18"/>
          <w:lang w:val="de-DE"/>
        </w:rPr>
        <w:t>y</w:t>
      </w:r>
      <w:r>
        <w:rPr>
          <w:rStyle w:val="apple-converted-space"/>
          <w:rFonts w:ascii="Helvetica" w:hAnsi="Helvetica" w:cs="Helvetica"/>
          <w:b/>
          <w:bCs/>
          <w:sz w:val="18"/>
          <w:szCs w:val="18"/>
          <w:lang w:val="de-DE"/>
        </w:rPr>
        <w:t> </w:t>
      </w:r>
      <w:hyperlink r:id="rId7" w:history="1">
        <w:r>
          <w:rPr>
            <w:rStyle w:val="Hipervnculo"/>
            <w:b/>
            <w:bCs/>
            <w:lang w:val="de-DE"/>
          </w:rPr>
          <w:t>https://reyaller.wordpress.com/2014/11/22/die-gedanken-sind-frei-%C2%AC-volkslied</w:t>
        </w:r>
      </w:hyperlink>
      <w:r>
        <w:rPr>
          <w:rStyle w:val="apple-converted-space"/>
          <w:rFonts w:ascii="Helvetica" w:hAnsi="Helvetica" w:cs="Helvetica"/>
          <w:b/>
          <w:bCs/>
          <w:sz w:val="18"/>
          <w:szCs w:val="18"/>
          <w:lang w:val="de-DE"/>
        </w:rPr>
        <w:t> </w:t>
      </w:r>
      <w:r>
        <w:rPr>
          <w:rFonts w:ascii="Helvetica" w:hAnsi="Helvetica" w:cs="Helvetica"/>
          <w:b/>
          <w:bCs/>
          <w:sz w:val="18"/>
          <w:szCs w:val="18"/>
          <w:lang w:val="de-DE"/>
        </w:rPr>
        <w:t>.-</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rFonts w:ascii="Helvetica" w:hAnsi="Helvetica" w:cs="Helvetica"/>
          <w:b/>
          <w:bCs/>
          <w:sz w:val="18"/>
          <w:szCs w:val="18"/>
          <w:lang w:val="de-DE"/>
        </w:rPr>
        <w:t>Art 6:</w:t>
      </w:r>
      <w:r>
        <w:rPr>
          <w:rStyle w:val="apple-converted-space"/>
          <w:rFonts w:ascii="Helvetica" w:hAnsi="Helvetica" w:cs="Helvetica"/>
          <w:b/>
          <w:bCs/>
          <w:sz w:val="18"/>
          <w:szCs w:val="18"/>
          <w:lang w:val="de-DE"/>
        </w:rPr>
        <w:t> </w:t>
      </w:r>
      <w:r>
        <w:rPr>
          <w:rFonts w:ascii="Helvetica" w:hAnsi="Helvetica" w:cs="Helvetica"/>
          <w:sz w:val="18"/>
          <w:szCs w:val="18"/>
          <w:lang w:val="de-DE"/>
        </w:rPr>
        <w:t>Ehe und Familie stehen unter dem besonderen Schutze der staatlichen Ordnung. Erziehung der Kinder. Uneheliche Kinder, gleichberechtigt.</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rFonts w:ascii="Helvetica" w:hAnsi="Helvetica" w:cs="Helvetica"/>
          <w:b/>
          <w:bCs/>
          <w:sz w:val="18"/>
          <w:szCs w:val="18"/>
          <w:lang w:val="de-DE"/>
        </w:rPr>
        <w:t>Art 7:  das</w:t>
      </w:r>
      <w:r>
        <w:rPr>
          <w:rStyle w:val="apple-converted-space"/>
          <w:rFonts w:ascii="Helvetica" w:hAnsi="Helvetica" w:cs="Helvetica"/>
          <w:b/>
          <w:bCs/>
          <w:sz w:val="18"/>
          <w:szCs w:val="18"/>
          <w:lang w:val="de-DE"/>
        </w:rPr>
        <w:t> </w:t>
      </w:r>
      <w:r>
        <w:rPr>
          <w:rFonts w:ascii="Helvetica" w:hAnsi="Helvetica" w:cs="Helvetica"/>
          <w:sz w:val="18"/>
          <w:szCs w:val="18"/>
          <w:lang w:val="de-DE"/>
        </w:rPr>
        <w:t>Schulwesen. [</w:t>
      </w:r>
      <w:r>
        <w:rPr>
          <w:rFonts w:ascii="Helvetica" w:hAnsi="Helvetica" w:cs="Helvetica"/>
          <w:b/>
          <w:bCs/>
          <w:sz w:val="18"/>
          <w:szCs w:val="18"/>
          <w:lang w:val="de-DE"/>
        </w:rPr>
        <w:t>Gesamtheit von Einrichtungen, Angelegenheiten der Schule - DWDS]</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rFonts w:ascii="Helvetica" w:hAnsi="Helvetica" w:cs="Helvetica"/>
          <w:b/>
          <w:bCs/>
          <w:sz w:val="18"/>
          <w:szCs w:val="18"/>
          <w:lang w:val="de-DE"/>
        </w:rPr>
        <w:t>Art 8: die</w:t>
      </w:r>
      <w:r>
        <w:rPr>
          <w:rStyle w:val="apple-converted-space"/>
          <w:rFonts w:ascii="Helvetica" w:hAnsi="Helvetica" w:cs="Helvetica"/>
          <w:b/>
          <w:bCs/>
          <w:sz w:val="18"/>
          <w:szCs w:val="18"/>
          <w:lang w:val="de-DE"/>
        </w:rPr>
        <w:t> </w:t>
      </w:r>
      <w:r>
        <w:rPr>
          <w:rFonts w:ascii="Helvetica" w:hAnsi="Helvetica" w:cs="Helvetica"/>
          <w:sz w:val="18"/>
          <w:szCs w:val="18"/>
          <w:lang w:val="de-DE"/>
        </w:rPr>
        <w:t>Versammlungsfreiheit.-    </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rFonts w:ascii="Helvetica" w:hAnsi="Helvetica" w:cs="Helvetica"/>
          <w:b/>
          <w:bCs/>
          <w:sz w:val="18"/>
          <w:szCs w:val="18"/>
          <w:lang w:val="de-DE"/>
        </w:rPr>
        <w:t>Art 9:</w:t>
      </w:r>
      <w:r>
        <w:rPr>
          <w:rStyle w:val="apple-converted-space"/>
          <w:rFonts w:ascii="Helvetica" w:hAnsi="Helvetica" w:cs="Helvetica"/>
          <w:b/>
          <w:bCs/>
          <w:sz w:val="18"/>
          <w:szCs w:val="18"/>
          <w:lang w:val="de-DE"/>
        </w:rPr>
        <w:t> </w:t>
      </w:r>
      <w:r>
        <w:rPr>
          <w:rFonts w:ascii="Helvetica" w:hAnsi="Helvetica" w:cs="Helvetica"/>
          <w:sz w:val="18"/>
          <w:szCs w:val="18"/>
          <w:lang w:val="de-DE"/>
        </w:rPr>
        <w:t>Vereinigungs- und Koalitionsfreiheit. Vereine, Gesellschaften, Gewerkschaften, Parteien, Konzerne. [</w:t>
      </w:r>
      <w:r>
        <w:rPr>
          <w:rFonts w:ascii="Helvetica" w:hAnsi="Helvetica" w:cs="Helvetica"/>
          <w:b/>
          <w:bCs/>
          <w:sz w:val="18"/>
          <w:szCs w:val="18"/>
          <w:lang w:val="de-DE"/>
        </w:rPr>
        <w:t>Konzern</w:t>
      </w:r>
      <w:r>
        <w:rPr>
          <w:rFonts w:ascii="Helvetica" w:hAnsi="Helvetica" w:cs="Helvetica"/>
          <w:sz w:val="18"/>
          <w:szCs w:val="18"/>
          <w:lang w:val="de-DE"/>
        </w:rPr>
        <w:t> m. ‘Zusammenschluß gleichartiger Unternehmen durch Kapital-, auch Personalverflechtung zu einer zentral geleiteten wirtschaftlichen Einheit bei formaljuristischer Selbständigkeit der einzelnen Betriebe’]</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rFonts w:ascii="Helvetica" w:hAnsi="Helvetica" w:cs="Helvetica"/>
          <w:b/>
          <w:bCs/>
          <w:sz w:val="18"/>
          <w:szCs w:val="18"/>
          <w:lang w:val="de-DE"/>
        </w:rPr>
        <w:t>Art 10</w:t>
      </w:r>
      <w:r>
        <w:rPr>
          <w:rFonts w:ascii="Helvetica" w:hAnsi="Helvetica" w:cs="Helvetica"/>
          <w:sz w:val="18"/>
          <w:szCs w:val="18"/>
          <w:lang w:val="de-DE"/>
        </w:rPr>
        <w:t>: Brief-, Post- und Fernmeldegeheimnis.-  </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Pr>
          <w:rFonts w:ascii="Helvetica" w:hAnsi="Helvetica" w:cs="Helvetica"/>
          <w:b/>
          <w:bCs/>
          <w:sz w:val="18"/>
          <w:szCs w:val="18"/>
          <w:lang w:val="de-DE"/>
        </w:rPr>
        <w:lastRenderedPageBreak/>
        <w:t>Art 11</w:t>
      </w:r>
      <w:r>
        <w:rPr>
          <w:rFonts w:ascii="Helvetica" w:hAnsi="Helvetica" w:cs="Helvetica"/>
          <w:sz w:val="18"/>
          <w:szCs w:val="18"/>
          <w:lang w:val="de-DE"/>
        </w:rPr>
        <w:t>: Freizügigkeit im ganzen Bundesgebiet.- </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lang w:val="de-DE"/>
        </w:rPr>
      </w:pPr>
      <w:r w:rsidRPr="00B16400">
        <w:rPr>
          <w:rFonts w:ascii="Helvetica" w:hAnsi="Helvetica" w:cs="Helvetica"/>
          <w:b/>
          <w:bCs/>
          <w:sz w:val="18"/>
          <w:szCs w:val="18"/>
          <w:lang w:val="de-DE"/>
        </w:rPr>
        <w:t>Art 12</w:t>
      </w:r>
      <w:r w:rsidRPr="00B16400">
        <w:rPr>
          <w:rFonts w:ascii="Helvetica" w:hAnsi="Helvetica" w:cs="Helvetica"/>
          <w:sz w:val="18"/>
          <w:szCs w:val="18"/>
          <w:lang w:val="de-DE"/>
        </w:rPr>
        <w:t>: Berufsfreiheit und Zwangsarbeit.- </w:t>
      </w:r>
    </w:p>
    <w:p w:rsidR="00B16400" w:rsidRPr="00B16400" w:rsidRDefault="00B16400" w:rsidP="00B16400">
      <w:pPr>
        <w:pStyle w:val="NormalWeb"/>
        <w:spacing w:before="0" w:beforeAutospacing="0" w:after="0" w:afterAutospacing="0"/>
        <w:rPr>
          <w:lang w:val="de-DE"/>
        </w:rPr>
      </w:pPr>
      <w:r>
        <w:rPr>
          <w:rFonts w:ascii="Helvetica" w:hAnsi="Helvetica" w:cs="Helvetica"/>
          <w:b/>
          <w:bCs/>
          <w:sz w:val="18"/>
          <w:szCs w:val="18"/>
          <w:lang w:val="de-DE"/>
        </w:rPr>
        <w:t>Art 13:</w:t>
      </w:r>
      <w:r>
        <w:rPr>
          <w:rStyle w:val="apple-converted-space"/>
          <w:rFonts w:ascii="Helvetica" w:hAnsi="Helvetica" w:cs="Helvetica"/>
          <w:b/>
          <w:bCs/>
          <w:sz w:val="18"/>
          <w:szCs w:val="18"/>
          <w:lang w:val="de-DE"/>
        </w:rPr>
        <w:t> </w:t>
      </w:r>
      <w:r>
        <w:rPr>
          <w:rFonts w:ascii="Helvetica" w:hAnsi="Helvetica" w:cs="Helvetica"/>
          <w:sz w:val="18"/>
          <w:szCs w:val="18"/>
          <w:lang w:val="de-DE"/>
        </w:rPr>
        <w:t>Unverletzlichkeit der Wohnung. Durchsuchungen.</w:t>
      </w:r>
    </w:p>
    <w:p w:rsidR="00B16400" w:rsidRPr="00B16400" w:rsidRDefault="00B16400" w:rsidP="00B16400">
      <w:pPr>
        <w:pStyle w:val="NormalWeb"/>
        <w:spacing w:before="0" w:beforeAutospacing="0" w:after="0" w:afterAutospacing="0"/>
        <w:rPr>
          <w:lang w:val="de-DE"/>
        </w:rPr>
      </w:pPr>
    </w:p>
    <w:p w:rsidR="00B16400" w:rsidRPr="00B16400" w:rsidRDefault="00B16400" w:rsidP="00B16400">
      <w:pPr>
        <w:pStyle w:val="NormalWeb"/>
        <w:spacing w:before="0" w:beforeAutospacing="0" w:after="0" w:afterAutospacing="0"/>
        <w:rPr>
          <w:color w:val="000000"/>
          <w:sz w:val="27"/>
          <w:szCs w:val="27"/>
          <w:lang w:val="de-DE"/>
        </w:rPr>
      </w:pPr>
      <w:r>
        <w:rPr>
          <w:rFonts w:ascii="Helvetica" w:hAnsi="Helvetica" w:cs="Helvetica"/>
          <w:b/>
          <w:bCs/>
          <w:color w:val="000000"/>
          <w:sz w:val="18"/>
          <w:szCs w:val="18"/>
          <w:lang w:val="de-DE"/>
        </w:rPr>
        <w:t>Art 14: </w:t>
      </w:r>
      <w:r>
        <w:rPr>
          <w:rFonts w:ascii="Helvetica" w:hAnsi="Helvetica" w:cs="Helvetica"/>
          <w:color w:val="000000"/>
          <w:sz w:val="18"/>
          <w:szCs w:val="18"/>
          <w:lang w:val="de-DE"/>
        </w:rPr>
        <w:t>Eigentum, Erbrecht, Enteignung.</w:t>
      </w:r>
    </w:p>
    <w:p w:rsidR="00B16400" w:rsidRPr="00B16400" w:rsidRDefault="00B16400" w:rsidP="00B16400">
      <w:pPr>
        <w:pStyle w:val="NormalWeb"/>
        <w:spacing w:before="0" w:beforeAutospacing="0" w:after="0" w:afterAutospacing="0"/>
        <w:rPr>
          <w:color w:val="000000"/>
          <w:sz w:val="27"/>
          <w:szCs w:val="27"/>
          <w:lang w:val="de-DE"/>
        </w:rPr>
      </w:pPr>
      <w:r>
        <w:rPr>
          <w:rFonts w:ascii="Helvetica" w:hAnsi="Helvetica" w:cs="Helvetica"/>
          <w:color w:val="000000"/>
          <w:sz w:val="18"/>
          <w:szCs w:val="18"/>
          <w:lang w:val="de-DE"/>
        </w:rPr>
        <w:br/>
        <w:t> </w:t>
      </w:r>
      <w:r>
        <w:rPr>
          <w:rFonts w:ascii="Helvetica" w:hAnsi="Helvetica" w:cs="Helvetica"/>
          <w:b/>
          <w:bCs/>
          <w:color w:val="000000"/>
          <w:sz w:val="18"/>
          <w:szCs w:val="18"/>
          <w:lang w:val="de-DE"/>
        </w:rPr>
        <w:t>Art 15: </w:t>
      </w:r>
      <w:r>
        <w:rPr>
          <w:rFonts w:ascii="Helvetica" w:hAnsi="Helvetica" w:cs="Helvetica"/>
          <w:color w:val="000000"/>
          <w:sz w:val="18"/>
          <w:szCs w:val="18"/>
          <w:lang w:val="de-DE"/>
        </w:rPr>
        <w:t>Vergesellschaftung: Grund, Naturschätze und Produktionsmittel.</w:t>
      </w:r>
    </w:p>
    <w:p w:rsidR="00B16400" w:rsidRPr="00B16400" w:rsidRDefault="00B16400" w:rsidP="00B16400">
      <w:pPr>
        <w:pStyle w:val="NormalWeb"/>
        <w:spacing w:before="0" w:beforeAutospacing="0" w:after="0" w:afterAutospacing="0"/>
        <w:rPr>
          <w:color w:val="000000"/>
          <w:sz w:val="27"/>
          <w:szCs w:val="27"/>
          <w:lang w:val="de-DE"/>
        </w:rPr>
      </w:pPr>
      <w:r>
        <w:rPr>
          <w:rFonts w:ascii="Helvetica" w:hAnsi="Helvetica" w:cs="Helvetica"/>
          <w:color w:val="000000"/>
          <w:sz w:val="18"/>
          <w:szCs w:val="18"/>
          <w:lang w:val="de-DE"/>
        </w:rPr>
        <w:br/>
        <w:t> </w:t>
      </w:r>
      <w:r>
        <w:rPr>
          <w:rFonts w:ascii="Helvetica" w:hAnsi="Helvetica" w:cs="Helvetica"/>
          <w:b/>
          <w:bCs/>
          <w:color w:val="000000"/>
          <w:sz w:val="18"/>
          <w:szCs w:val="18"/>
          <w:lang w:val="de-DE"/>
        </w:rPr>
        <w:t>Art 16: </w:t>
      </w:r>
      <w:r>
        <w:rPr>
          <w:rFonts w:ascii="Helvetica" w:hAnsi="Helvetica" w:cs="Helvetica"/>
          <w:color w:val="000000"/>
          <w:sz w:val="18"/>
          <w:szCs w:val="18"/>
          <w:lang w:val="de-DE"/>
        </w:rPr>
        <w:t>Staatsangehörigkeit. Auslieferung.-</w:t>
      </w:r>
      <w:r>
        <w:rPr>
          <w:rFonts w:ascii="Helvetica" w:hAnsi="Helvetica" w:cs="Helvetica"/>
          <w:b/>
          <w:bCs/>
          <w:color w:val="000000"/>
          <w:sz w:val="18"/>
          <w:szCs w:val="18"/>
          <w:lang w:val="de-DE"/>
        </w:rPr>
        <w:t>       </w:t>
      </w:r>
    </w:p>
    <w:p w:rsidR="00B16400" w:rsidRPr="00B16400" w:rsidRDefault="00B16400" w:rsidP="00B16400">
      <w:pPr>
        <w:pStyle w:val="NormalWeb"/>
        <w:spacing w:before="0" w:beforeAutospacing="0" w:after="0" w:afterAutospacing="0"/>
        <w:rPr>
          <w:color w:val="000000"/>
          <w:sz w:val="27"/>
          <w:szCs w:val="27"/>
          <w:lang w:val="de-DE"/>
        </w:rPr>
      </w:pPr>
      <w:r>
        <w:rPr>
          <w:rFonts w:ascii="Helvetica" w:hAnsi="Helvetica" w:cs="Helvetica"/>
          <w:color w:val="000000"/>
          <w:sz w:val="18"/>
          <w:szCs w:val="18"/>
          <w:lang w:val="de-DE"/>
        </w:rPr>
        <w:t> </w:t>
      </w:r>
      <w:r>
        <w:rPr>
          <w:rFonts w:ascii="Helvetica" w:hAnsi="Helvetica" w:cs="Helvetica"/>
          <w:b/>
          <w:bCs/>
          <w:color w:val="000000"/>
          <w:sz w:val="18"/>
          <w:szCs w:val="18"/>
          <w:lang w:val="de-DE"/>
        </w:rPr>
        <w:t>Art 16a: </w:t>
      </w:r>
      <w:r>
        <w:rPr>
          <w:rFonts w:ascii="Helvetica" w:hAnsi="Helvetica" w:cs="Helvetica"/>
          <w:color w:val="000000"/>
          <w:sz w:val="18"/>
          <w:szCs w:val="18"/>
          <w:lang w:val="de-DE"/>
        </w:rPr>
        <w:t>Asylrecht</w:t>
      </w:r>
    </w:p>
    <w:p w:rsidR="00B16400" w:rsidRPr="00B16400" w:rsidRDefault="00B16400" w:rsidP="00B16400">
      <w:pPr>
        <w:pStyle w:val="NormalWeb"/>
        <w:spacing w:before="0" w:beforeAutospacing="0" w:after="0" w:afterAutospacing="0"/>
        <w:rPr>
          <w:color w:val="000000"/>
          <w:sz w:val="27"/>
          <w:szCs w:val="27"/>
          <w:lang w:val="de-DE"/>
        </w:rPr>
      </w:pPr>
      <w:r>
        <w:rPr>
          <w:rFonts w:ascii="Helvetica" w:hAnsi="Helvetica" w:cs="Helvetica"/>
          <w:color w:val="000000"/>
          <w:sz w:val="18"/>
          <w:szCs w:val="18"/>
          <w:lang w:val="de-DE"/>
        </w:rPr>
        <w:br/>
      </w:r>
      <w:r>
        <w:rPr>
          <w:rFonts w:ascii="Helvetica" w:hAnsi="Helvetica" w:cs="Helvetica"/>
          <w:b/>
          <w:bCs/>
          <w:color w:val="000000"/>
          <w:sz w:val="18"/>
          <w:szCs w:val="18"/>
          <w:lang w:val="de-DE"/>
        </w:rPr>
        <w:t>Art 17</w:t>
      </w:r>
      <w:r>
        <w:rPr>
          <w:rFonts w:ascii="Helvetica" w:hAnsi="Helvetica" w:cs="Helvetica"/>
          <w:color w:val="000000"/>
          <w:sz w:val="18"/>
          <w:szCs w:val="18"/>
          <w:lang w:val="de-DE"/>
        </w:rPr>
        <w:t>: Petitionsrecht</w:t>
      </w:r>
    </w:p>
    <w:p w:rsidR="00B16400" w:rsidRPr="00B16400" w:rsidRDefault="00B16400" w:rsidP="00B16400">
      <w:pPr>
        <w:pStyle w:val="NormalWeb"/>
        <w:spacing w:before="0" w:beforeAutospacing="0" w:after="0" w:afterAutospacing="0"/>
        <w:rPr>
          <w:color w:val="000000"/>
          <w:sz w:val="27"/>
          <w:szCs w:val="27"/>
          <w:lang w:val="de-DE"/>
        </w:rPr>
      </w:pPr>
      <w:r>
        <w:rPr>
          <w:rFonts w:ascii="Helvetica" w:hAnsi="Helvetica" w:cs="Helvetica"/>
          <w:color w:val="000000"/>
          <w:sz w:val="18"/>
          <w:szCs w:val="18"/>
          <w:lang w:val="de-DE"/>
        </w:rPr>
        <w:br/>
      </w:r>
      <w:r>
        <w:rPr>
          <w:rFonts w:ascii="Helvetica" w:hAnsi="Helvetica" w:cs="Helvetica"/>
          <w:b/>
          <w:bCs/>
          <w:color w:val="000000"/>
          <w:sz w:val="18"/>
          <w:szCs w:val="18"/>
          <w:lang w:val="de-DE"/>
        </w:rPr>
        <w:t>Art 17a: Einschränkung der Grundrechte</w:t>
      </w:r>
    </w:p>
    <w:p w:rsidR="00B16400" w:rsidRPr="00B16400" w:rsidRDefault="00B16400" w:rsidP="00B16400">
      <w:pPr>
        <w:pStyle w:val="NormalWeb"/>
        <w:spacing w:before="0" w:beforeAutospacing="0" w:after="0" w:afterAutospacing="0"/>
        <w:rPr>
          <w:color w:val="000000"/>
          <w:sz w:val="27"/>
          <w:szCs w:val="27"/>
          <w:lang w:val="de-DE"/>
        </w:rPr>
      </w:pPr>
      <w:r>
        <w:rPr>
          <w:rFonts w:ascii="Helvetica" w:hAnsi="Helvetica" w:cs="Helvetica"/>
          <w:b/>
          <w:bCs/>
          <w:color w:val="000000"/>
          <w:sz w:val="18"/>
          <w:szCs w:val="18"/>
          <w:lang w:val="de-DE"/>
        </w:rPr>
        <w:br/>
        <w:t>Art 18 : Grundrechtsverwirkung</w:t>
      </w:r>
    </w:p>
    <w:p w:rsidR="00B16400" w:rsidRPr="00B16400" w:rsidRDefault="00B16400" w:rsidP="00B16400">
      <w:pPr>
        <w:pStyle w:val="NormalWeb"/>
        <w:spacing w:before="0" w:beforeAutospacing="0" w:after="0" w:afterAutospacing="0"/>
        <w:rPr>
          <w:color w:val="000000"/>
          <w:sz w:val="27"/>
          <w:szCs w:val="27"/>
          <w:lang w:val="de-DE"/>
        </w:rPr>
      </w:pPr>
      <w:r>
        <w:rPr>
          <w:rFonts w:ascii="Helvetica" w:hAnsi="Helvetica" w:cs="Helvetica"/>
          <w:b/>
          <w:bCs/>
          <w:color w:val="000000"/>
          <w:sz w:val="18"/>
          <w:szCs w:val="18"/>
          <w:lang w:val="de-DE"/>
        </w:rPr>
        <w:br/>
        <w:t>Art 19 : Rechtsweg gegen Einschränkung der Grundrechte</w:t>
      </w:r>
    </w:p>
    <w:p w:rsidR="00B16400" w:rsidRDefault="00B16400" w:rsidP="00B16400">
      <w:pPr>
        <w:pStyle w:val="NormalWeb"/>
        <w:spacing w:before="0" w:beforeAutospacing="0" w:after="0" w:afterAutospacing="0"/>
        <w:rPr>
          <w:color w:val="000000"/>
          <w:sz w:val="27"/>
          <w:szCs w:val="27"/>
        </w:rPr>
      </w:pPr>
      <w:r>
        <w:rPr>
          <w:rFonts w:ascii="Helvetica" w:hAnsi="Helvetica" w:cs="Helvetica"/>
          <w:b/>
          <w:bCs/>
          <w:color w:val="000000"/>
          <w:sz w:val="18"/>
          <w:szCs w:val="18"/>
          <w:lang w:val="de-DE"/>
        </w:rPr>
        <w:br/>
        <w:t>Art 20 : Verfassungsgrundsätze - Widerstandsrecht</w:t>
      </w:r>
    </w:p>
    <w:p w:rsidR="001139D8" w:rsidRDefault="001139D8"/>
    <w:sectPr w:rsidR="001139D8" w:rsidSect="00B16400">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400"/>
    <w:rsid w:val="001139D8"/>
    <w:rsid w:val="00B164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64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16400"/>
  </w:style>
  <w:style w:type="character" w:styleId="Hipervnculo">
    <w:name w:val="Hyperlink"/>
    <w:basedOn w:val="Fuentedeprrafopredeter"/>
    <w:uiPriority w:val="99"/>
    <w:semiHidden/>
    <w:unhideWhenUsed/>
    <w:rsid w:val="00B16400"/>
    <w:rPr>
      <w:color w:val="0000FF"/>
      <w:u w:val="single"/>
    </w:rPr>
  </w:style>
</w:styles>
</file>

<file path=word/webSettings.xml><?xml version="1.0" encoding="utf-8"?>
<w:webSettings xmlns:r="http://schemas.openxmlformats.org/officeDocument/2006/relationships" xmlns:w="http://schemas.openxmlformats.org/wordprocessingml/2006/main">
  <w:divs>
    <w:div w:id="603616968">
      <w:bodyDiv w:val="1"/>
      <w:marLeft w:val="0"/>
      <w:marRight w:val="0"/>
      <w:marTop w:val="0"/>
      <w:marBottom w:val="0"/>
      <w:divBdr>
        <w:top w:val="none" w:sz="0" w:space="0" w:color="auto"/>
        <w:left w:val="none" w:sz="0" w:space="0" w:color="auto"/>
        <w:bottom w:val="none" w:sz="0" w:space="0" w:color="auto"/>
        <w:right w:val="none" w:sz="0" w:space="0" w:color="auto"/>
      </w:divBdr>
      <w:divsChild>
        <w:div w:id="2052143860">
          <w:marLeft w:val="0"/>
          <w:marRight w:val="0"/>
          <w:marTop w:val="0"/>
          <w:marBottom w:val="0"/>
          <w:divBdr>
            <w:top w:val="none" w:sz="0" w:space="0" w:color="auto"/>
            <w:left w:val="none" w:sz="0" w:space="0" w:color="auto"/>
            <w:bottom w:val="none" w:sz="0" w:space="0" w:color="auto"/>
            <w:right w:val="none" w:sz="0" w:space="0" w:color="auto"/>
          </w:divBdr>
        </w:div>
        <w:div w:id="1096637338">
          <w:marLeft w:val="0"/>
          <w:marRight w:val="0"/>
          <w:marTop w:val="0"/>
          <w:marBottom w:val="0"/>
          <w:divBdr>
            <w:top w:val="none" w:sz="0" w:space="0" w:color="auto"/>
            <w:left w:val="none" w:sz="0" w:space="0" w:color="auto"/>
            <w:bottom w:val="none" w:sz="0" w:space="0" w:color="auto"/>
            <w:right w:val="none" w:sz="0" w:space="0" w:color="auto"/>
          </w:divBdr>
        </w:div>
        <w:div w:id="1264191125">
          <w:marLeft w:val="0"/>
          <w:marRight w:val="0"/>
          <w:marTop w:val="0"/>
          <w:marBottom w:val="0"/>
          <w:divBdr>
            <w:top w:val="none" w:sz="0" w:space="0" w:color="auto"/>
            <w:left w:val="none" w:sz="0" w:space="0" w:color="auto"/>
            <w:bottom w:val="none" w:sz="0" w:space="0" w:color="auto"/>
            <w:right w:val="none" w:sz="0" w:space="0" w:color="auto"/>
          </w:divBdr>
        </w:div>
        <w:div w:id="188839078">
          <w:marLeft w:val="0"/>
          <w:marRight w:val="0"/>
          <w:marTop w:val="0"/>
          <w:marBottom w:val="0"/>
          <w:divBdr>
            <w:top w:val="none" w:sz="0" w:space="0" w:color="auto"/>
            <w:left w:val="none" w:sz="0" w:space="0" w:color="auto"/>
            <w:bottom w:val="none" w:sz="0" w:space="0" w:color="auto"/>
            <w:right w:val="none" w:sz="0" w:space="0" w:color="auto"/>
          </w:divBdr>
        </w:div>
        <w:div w:id="1106074299">
          <w:marLeft w:val="0"/>
          <w:marRight w:val="0"/>
          <w:marTop w:val="0"/>
          <w:marBottom w:val="0"/>
          <w:divBdr>
            <w:top w:val="none" w:sz="0" w:space="0" w:color="auto"/>
            <w:left w:val="none" w:sz="0" w:space="0" w:color="auto"/>
            <w:bottom w:val="none" w:sz="0" w:space="0" w:color="auto"/>
            <w:right w:val="none" w:sz="0" w:space="0" w:color="auto"/>
          </w:divBdr>
        </w:div>
        <w:div w:id="1346324676">
          <w:marLeft w:val="0"/>
          <w:marRight w:val="0"/>
          <w:marTop w:val="0"/>
          <w:marBottom w:val="0"/>
          <w:divBdr>
            <w:top w:val="none" w:sz="0" w:space="0" w:color="auto"/>
            <w:left w:val="none" w:sz="0" w:space="0" w:color="auto"/>
            <w:bottom w:val="none" w:sz="0" w:space="0" w:color="auto"/>
            <w:right w:val="none" w:sz="0" w:space="0" w:color="auto"/>
          </w:divBdr>
        </w:div>
        <w:div w:id="828054242">
          <w:marLeft w:val="0"/>
          <w:marRight w:val="0"/>
          <w:marTop w:val="0"/>
          <w:marBottom w:val="0"/>
          <w:divBdr>
            <w:top w:val="none" w:sz="0" w:space="0" w:color="auto"/>
            <w:left w:val="none" w:sz="0" w:space="0" w:color="auto"/>
            <w:bottom w:val="none" w:sz="0" w:space="0" w:color="auto"/>
            <w:right w:val="none" w:sz="0" w:space="0" w:color="auto"/>
          </w:divBdr>
        </w:div>
        <w:div w:id="1688480849">
          <w:marLeft w:val="0"/>
          <w:marRight w:val="0"/>
          <w:marTop w:val="0"/>
          <w:marBottom w:val="0"/>
          <w:divBdr>
            <w:top w:val="none" w:sz="0" w:space="0" w:color="auto"/>
            <w:left w:val="none" w:sz="0" w:space="0" w:color="auto"/>
            <w:bottom w:val="none" w:sz="0" w:space="0" w:color="auto"/>
            <w:right w:val="none" w:sz="0" w:space="0" w:color="auto"/>
          </w:divBdr>
        </w:div>
        <w:div w:id="560555072">
          <w:marLeft w:val="0"/>
          <w:marRight w:val="0"/>
          <w:marTop w:val="0"/>
          <w:marBottom w:val="0"/>
          <w:divBdr>
            <w:top w:val="none" w:sz="0" w:space="0" w:color="auto"/>
            <w:left w:val="none" w:sz="0" w:space="0" w:color="auto"/>
            <w:bottom w:val="none" w:sz="0" w:space="0" w:color="auto"/>
            <w:right w:val="none" w:sz="0" w:space="0" w:color="auto"/>
          </w:divBdr>
        </w:div>
        <w:div w:id="573857114">
          <w:marLeft w:val="0"/>
          <w:marRight w:val="0"/>
          <w:marTop w:val="0"/>
          <w:marBottom w:val="0"/>
          <w:divBdr>
            <w:top w:val="none" w:sz="0" w:space="0" w:color="auto"/>
            <w:left w:val="none" w:sz="0" w:space="0" w:color="auto"/>
            <w:bottom w:val="none" w:sz="0" w:space="0" w:color="auto"/>
            <w:right w:val="none" w:sz="0" w:space="0" w:color="auto"/>
          </w:divBdr>
        </w:div>
        <w:div w:id="1867711026">
          <w:marLeft w:val="0"/>
          <w:marRight w:val="0"/>
          <w:marTop w:val="0"/>
          <w:marBottom w:val="0"/>
          <w:divBdr>
            <w:top w:val="none" w:sz="0" w:space="0" w:color="auto"/>
            <w:left w:val="none" w:sz="0" w:space="0" w:color="auto"/>
            <w:bottom w:val="none" w:sz="0" w:space="0" w:color="auto"/>
            <w:right w:val="none" w:sz="0" w:space="0" w:color="auto"/>
          </w:divBdr>
        </w:div>
        <w:div w:id="883902612">
          <w:marLeft w:val="0"/>
          <w:marRight w:val="0"/>
          <w:marTop w:val="0"/>
          <w:marBottom w:val="0"/>
          <w:divBdr>
            <w:top w:val="none" w:sz="0" w:space="0" w:color="auto"/>
            <w:left w:val="none" w:sz="0" w:space="0" w:color="auto"/>
            <w:bottom w:val="none" w:sz="0" w:space="0" w:color="auto"/>
            <w:right w:val="none" w:sz="0" w:space="0" w:color="auto"/>
          </w:divBdr>
        </w:div>
        <w:div w:id="82803462">
          <w:marLeft w:val="0"/>
          <w:marRight w:val="0"/>
          <w:marTop w:val="0"/>
          <w:marBottom w:val="0"/>
          <w:divBdr>
            <w:top w:val="none" w:sz="0" w:space="0" w:color="auto"/>
            <w:left w:val="none" w:sz="0" w:space="0" w:color="auto"/>
            <w:bottom w:val="none" w:sz="0" w:space="0" w:color="auto"/>
            <w:right w:val="none" w:sz="0" w:space="0" w:color="auto"/>
          </w:divBdr>
        </w:div>
        <w:div w:id="899629359">
          <w:marLeft w:val="0"/>
          <w:marRight w:val="0"/>
          <w:marTop w:val="0"/>
          <w:marBottom w:val="0"/>
          <w:divBdr>
            <w:top w:val="none" w:sz="0" w:space="0" w:color="auto"/>
            <w:left w:val="none" w:sz="0" w:space="0" w:color="auto"/>
            <w:bottom w:val="none" w:sz="0" w:space="0" w:color="auto"/>
            <w:right w:val="none" w:sz="0" w:space="0" w:color="auto"/>
          </w:divBdr>
        </w:div>
        <w:div w:id="1340308048">
          <w:marLeft w:val="0"/>
          <w:marRight w:val="0"/>
          <w:marTop w:val="0"/>
          <w:marBottom w:val="0"/>
          <w:divBdr>
            <w:top w:val="none" w:sz="0" w:space="0" w:color="auto"/>
            <w:left w:val="none" w:sz="0" w:space="0" w:color="auto"/>
            <w:bottom w:val="none" w:sz="0" w:space="0" w:color="auto"/>
            <w:right w:val="none" w:sz="0" w:space="0" w:color="auto"/>
          </w:divBdr>
        </w:div>
        <w:div w:id="1857884748">
          <w:marLeft w:val="0"/>
          <w:marRight w:val="0"/>
          <w:marTop w:val="0"/>
          <w:marBottom w:val="0"/>
          <w:divBdr>
            <w:top w:val="none" w:sz="0" w:space="0" w:color="auto"/>
            <w:left w:val="none" w:sz="0" w:space="0" w:color="auto"/>
            <w:bottom w:val="none" w:sz="0" w:space="0" w:color="auto"/>
            <w:right w:val="none" w:sz="0" w:space="0" w:color="auto"/>
          </w:divBdr>
        </w:div>
        <w:div w:id="25258071">
          <w:marLeft w:val="0"/>
          <w:marRight w:val="0"/>
          <w:marTop w:val="0"/>
          <w:marBottom w:val="0"/>
          <w:divBdr>
            <w:top w:val="none" w:sz="0" w:space="0" w:color="auto"/>
            <w:left w:val="none" w:sz="0" w:space="0" w:color="auto"/>
            <w:bottom w:val="none" w:sz="0" w:space="0" w:color="auto"/>
            <w:right w:val="none" w:sz="0" w:space="0" w:color="auto"/>
          </w:divBdr>
        </w:div>
        <w:div w:id="1760061514">
          <w:marLeft w:val="0"/>
          <w:marRight w:val="0"/>
          <w:marTop w:val="0"/>
          <w:marBottom w:val="0"/>
          <w:divBdr>
            <w:top w:val="none" w:sz="0" w:space="0" w:color="auto"/>
            <w:left w:val="none" w:sz="0" w:space="0" w:color="auto"/>
            <w:bottom w:val="none" w:sz="0" w:space="0" w:color="auto"/>
            <w:right w:val="none" w:sz="0" w:space="0" w:color="auto"/>
          </w:divBdr>
        </w:div>
        <w:div w:id="2007442737">
          <w:marLeft w:val="0"/>
          <w:marRight w:val="0"/>
          <w:marTop w:val="0"/>
          <w:marBottom w:val="0"/>
          <w:divBdr>
            <w:top w:val="none" w:sz="0" w:space="0" w:color="auto"/>
            <w:left w:val="none" w:sz="0" w:space="0" w:color="auto"/>
            <w:bottom w:val="none" w:sz="0" w:space="0" w:color="auto"/>
            <w:right w:val="none" w:sz="0" w:space="0" w:color="auto"/>
          </w:divBdr>
        </w:div>
        <w:div w:id="1487626795">
          <w:marLeft w:val="0"/>
          <w:marRight w:val="0"/>
          <w:marTop w:val="0"/>
          <w:marBottom w:val="0"/>
          <w:divBdr>
            <w:top w:val="none" w:sz="0" w:space="0" w:color="auto"/>
            <w:left w:val="none" w:sz="0" w:space="0" w:color="auto"/>
            <w:bottom w:val="none" w:sz="0" w:space="0" w:color="auto"/>
            <w:right w:val="none" w:sz="0" w:space="0" w:color="auto"/>
          </w:divBdr>
        </w:div>
        <w:div w:id="663628377">
          <w:marLeft w:val="0"/>
          <w:marRight w:val="0"/>
          <w:marTop w:val="0"/>
          <w:marBottom w:val="0"/>
          <w:divBdr>
            <w:top w:val="none" w:sz="0" w:space="0" w:color="auto"/>
            <w:left w:val="none" w:sz="0" w:space="0" w:color="auto"/>
            <w:bottom w:val="none" w:sz="0" w:space="0" w:color="auto"/>
            <w:right w:val="none" w:sz="0" w:space="0" w:color="auto"/>
          </w:divBdr>
        </w:div>
        <w:div w:id="859587451">
          <w:marLeft w:val="0"/>
          <w:marRight w:val="0"/>
          <w:marTop w:val="0"/>
          <w:marBottom w:val="0"/>
          <w:divBdr>
            <w:top w:val="none" w:sz="0" w:space="0" w:color="auto"/>
            <w:left w:val="none" w:sz="0" w:space="0" w:color="auto"/>
            <w:bottom w:val="none" w:sz="0" w:space="0" w:color="auto"/>
            <w:right w:val="none" w:sz="0" w:space="0" w:color="auto"/>
          </w:divBdr>
        </w:div>
        <w:div w:id="1685666026">
          <w:marLeft w:val="0"/>
          <w:marRight w:val="0"/>
          <w:marTop w:val="0"/>
          <w:marBottom w:val="0"/>
          <w:divBdr>
            <w:top w:val="none" w:sz="0" w:space="0" w:color="auto"/>
            <w:left w:val="none" w:sz="0" w:space="0" w:color="auto"/>
            <w:bottom w:val="none" w:sz="0" w:space="0" w:color="auto"/>
            <w:right w:val="none" w:sz="0" w:space="0" w:color="auto"/>
          </w:divBdr>
        </w:div>
        <w:div w:id="254704429">
          <w:marLeft w:val="0"/>
          <w:marRight w:val="0"/>
          <w:marTop w:val="0"/>
          <w:marBottom w:val="0"/>
          <w:divBdr>
            <w:top w:val="none" w:sz="0" w:space="0" w:color="auto"/>
            <w:left w:val="none" w:sz="0" w:space="0" w:color="auto"/>
            <w:bottom w:val="none" w:sz="0" w:space="0" w:color="auto"/>
            <w:right w:val="none" w:sz="0" w:space="0" w:color="auto"/>
          </w:divBdr>
        </w:div>
        <w:div w:id="350422362">
          <w:marLeft w:val="0"/>
          <w:marRight w:val="0"/>
          <w:marTop w:val="0"/>
          <w:marBottom w:val="0"/>
          <w:divBdr>
            <w:top w:val="none" w:sz="0" w:space="0" w:color="auto"/>
            <w:left w:val="none" w:sz="0" w:space="0" w:color="auto"/>
            <w:bottom w:val="none" w:sz="0" w:space="0" w:color="auto"/>
            <w:right w:val="none" w:sz="0" w:space="0" w:color="auto"/>
          </w:divBdr>
        </w:div>
        <w:div w:id="1650329535">
          <w:marLeft w:val="0"/>
          <w:marRight w:val="0"/>
          <w:marTop w:val="0"/>
          <w:marBottom w:val="0"/>
          <w:divBdr>
            <w:top w:val="none" w:sz="0" w:space="0" w:color="auto"/>
            <w:left w:val="none" w:sz="0" w:space="0" w:color="auto"/>
            <w:bottom w:val="none" w:sz="0" w:space="0" w:color="auto"/>
            <w:right w:val="none" w:sz="0" w:space="0" w:color="auto"/>
          </w:divBdr>
        </w:div>
        <w:div w:id="723602784">
          <w:marLeft w:val="0"/>
          <w:marRight w:val="0"/>
          <w:marTop w:val="0"/>
          <w:marBottom w:val="0"/>
          <w:divBdr>
            <w:top w:val="none" w:sz="0" w:space="0" w:color="auto"/>
            <w:left w:val="none" w:sz="0" w:space="0" w:color="auto"/>
            <w:bottom w:val="none" w:sz="0" w:space="0" w:color="auto"/>
            <w:right w:val="none" w:sz="0" w:space="0" w:color="auto"/>
          </w:divBdr>
        </w:div>
        <w:div w:id="51463385">
          <w:marLeft w:val="0"/>
          <w:marRight w:val="0"/>
          <w:marTop w:val="0"/>
          <w:marBottom w:val="0"/>
          <w:divBdr>
            <w:top w:val="none" w:sz="0" w:space="0" w:color="auto"/>
            <w:left w:val="none" w:sz="0" w:space="0" w:color="auto"/>
            <w:bottom w:val="none" w:sz="0" w:space="0" w:color="auto"/>
            <w:right w:val="none" w:sz="0" w:space="0" w:color="auto"/>
          </w:divBdr>
        </w:div>
        <w:div w:id="1598096263">
          <w:marLeft w:val="0"/>
          <w:marRight w:val="0"/>
          <w:marTop w:val="0"/>
          <w:marBottom w:val="0"/>
          <w:divBdr>
            <w:top w:val="none" w:sz="0" w:space="0" w:color="auto"/>
            <w:left w:val="none" w:sz="0" w:space="0" w:color="auto"/>
            <w:bottom w:val="none" w:sz="0" w:space="0" w:color="auto"/>
            <w:right w:val="none" w:sz="0" w:space="0" w:color="auto"/>
          </w:divBdr>
        </w:div>
        <w:div w:id="1612665284">
          <w:marLeft w:val="0"/>
          <w:marRight w:val="0"/>
          <w:marTop w:val="0"/>
          <w:marBottom w:val="0"/>
          <w:divBdr>
            <w:top w:val="none" w:sz="0" w:space="0" w:color="auto"/>
            <w:left w:val="none" w:sz="0" w:space="0" w:color="auto"/>
            <w:bottom w:val="none" w:sz="0" w:space="0" w:color="auto"/>
            <w:right w:val="none" w:sz="0" w:space="0" w:color="auto"/>
          </w:divBdr>
        </w:div>
        <w:div w:id="2001498099">
          <w:marLeft w:val="0"/>
          <w:marRight w:val="0"/>
          <w:marTop w:val="0"/>
          <w:marBottom w:val="0"/>
          <w:divBdr>
            <w:top w:val="none" w:sz="0" w:space="0" w:color="auto"/>
            <w:left w:val="none" w:sz="0" w:space="0" w:color="auto"/>
            <w:bottom w:val="none" w:sz="0" w:space="0" w:color="auto"/>
            <w:right w:val="none" w:sz="0" w:space="0" w:color="auto"/>
          </w:divBdr>
        </w:div>
        <w:div w:id="1647591332">
          <w:marLeft w:val="0"/>
          <w:marRight w:val="0"/>
          <w:marTop w:val="0"/>
          <w:marBottom w:val="0"/>
          <w:divBdr>
            <w:top w:val="none" w:sz="0" w:space="0" w:color="auto"/>
            <w:left w:val="none" w:sz="0" w:space="0" w:color="auto"/>
            <w:bottom w:val="none" w:sz="0" w:space="0" w:color="auto"/>
            <w:right w:val="none" w:sz="0" w:space="0" w:color="auto"/>
          </w:divBdr>
        </w:div>
        <w:div w:id="25140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yaller.wordpress.com/2014/11/22/die-gedanken-sind-frei-%C2%AC-volksli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alfa.wordpress.com/2014/11/24/los-pensamientos-son-libres-%C2%AC-cancion-popular-y-politica" TargetMode="External"/><Relationship Id="rId5" Type="http://schemas.openxmlformats.org/officeDocument/2006/relationships/hyperlink" Target="https://analfa.wordpress.com/2014/12/03/derecho-a-la-vida-singular-combate-justas-torneos-duelos-cantares-de-gesta" TargetMode="External"/><Relationship Id="rId4" Type="http://schemas.openxmlformats.org/officeDocument/2006/relationships/hyperlink" Target="https://reyaller.wordpress.com/2014/12/02/duelo-zweikampf-hildebrandslied"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3750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2015-03-07T13:58:00Z</dcterms:created>
  <dcterms:modified xsi:type="dcterms:W3CDTF">2015-03-07T14:00:00Z</dcterms:modified>
</cp:coreProperties>
</file>