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FEF" w:rsidRPr="00E90FEF" w:rsidRDefault="00E90FEF" w:rsidP="00E90FEF">
      <w:pPr>
        <w:spacing w:after="0" w:line="240" w:lineRule="auto"/>
        <w:outlineLvl w:val="2"/>
        <w:rPr>
          <w:rFonts w:ascii="Times" w:eastAsia="Times New Roman" w:hAnsi="Times" w:cs="Times"/>
          <w:color w:val="2198A6"/>
          <w:sz w:val="36"/>
          <w:szCs w:val="36"/>
          <w:lang w:val="de-DE" w:eastAsia="es-ES"/>
        </w:rPr>
      </w:pPr>
      <w:r w:rsidRPr="00E90FEF">
        <w:rPr>
          <w:rFonts w:ascii="Times" w:eastAsia="Times New Roman" w:hAnsi="Times" w:cs="Times"/>
          <w:color w:val="2198A6"/>
          <w:sz w:val="36"/>
          <w:szCs w:val="36"/>
          <w:lang w:val="de-DE" w:eastAsia="es-ES"/>
        </w:rPr>
        <w:t>lectura 3 - alemán jurídico y Latein</w:t>
      </w:r>
    </w:p>
    <w:p w:rsidR="00E90FEF" w:rsidRPr="00E90FEF" w:rsidRDefault="00E90FEF" w:rsidP="00E90FEF">
      <w:pPr>
        <w:spacing w:after="0" w:line="273" w:lineRule="atLeast"/>
        <w:rPr>
          <w:rFonts w:ascii="Arial" w:eastAsia="Times New Roman" w:hAnsi="Arial" w:cs="Arial"/>
          <w:color w:val="666666"/>
          <w:sz w:val="20"/>
          <w:szCs w:val="20"/>
          <w:lang w:val="de-DE" w:eastAsia="es-ES"/>
        </w:rPr>
      </w:pPr>
    </w:p>
    <w:p w:rsidR="00E90FEF" w:rsidRPr="00E90FEF" w:rsidRDefault="00E90FEF" w:rsidP="00E90FEF">
      <w:pPr>
        <w:spacing w:after="240" w:line="273" w:lineRule="atLeast"/>
        <w:rPr>
          <w:rFonts w:ascii="Arial" w:eastAsia="Times New Roman" w:hAnsi="Arial" w:cs="Arial"/>
          <w:color w:val="666666"/>
          <w:sz w:val="20"/>
          <w:szCs w:val="20"/>
          <w:lang w:val="de-DE" w:eastAsia="es-ES"/>
        </w:rPr>
      </w:pPr>
      <w:r w:rsidRPr="00E90FEF">
        <w:rPr>
          <w:rFonts w:ascii="Arial" w:eastAsia="Times New Roman" w:hAnsi="Arial" w:cs="Arial"/>
          <w:color w:val="666666"/>
          <w:sz w:val="20"/>
          <w:szCs w:val="20"/>
          <w:lang w:val="de-DE" w:eastAsia="es-ES"/>
        </w:rPr>
        <w:t>Latein der Juristen   Juristenlatein  </w:t>
      </w:r>
      <w:r w:rsidRPr="00E90FEF">
        <w:rPr>
          <w:rFonts w:ascii="Arial" w:eastAsia="Times New Roman" w:hAnsi="Arial" w:cs="Arial"/>
          <w:color w:val="666666"/>
          <w:sz w:val="20"/>
          <w:szCs w:val="20"/>
          <w:lang w:val="fr-FR" w:eastAsia="es-ES"/>
        </w:rPr>
        <w:fldChar w:fldCharType="begin"/>
      </w:r>
      <w:r w:rsidRPr="00E90FEF">
        <w:rPr>
          <w:rFonts w:ascii="Arial" w:eastAsia="Times New Roman" w:hAnsi="Arial" w:cs="Arial"/>
          <w:color w:val="666666"/>
          <w:sz w:val="20"/>
          <w:szCs w:val="20"/>
          <w:lang w:val="de-DE" w:eastAsia="es-ES"/>
        </w:rPr>
        <w:instrText xml:space="preserve"> HYPERLINK "http://de.wikipedia.org/wiki/Latein_im_Recht" </w:instrText>
      </w:r>
      <w:r w:rsidRPr="00E90FEF">
        <w:rPr>
          <w:rFonts w:ascii="Arial" w:eastAsia="Times New Roman" w:hAnsi="Arial" w:cs="Arial"/>
          <w:color w:val="666666"/>
          <w:sz w:val="20"/>
          <w:szCs w:val="20"/>
          <w:lang w:val="fr-FR" w:eastAsia="es-ES"/>
        </w:rPr>
        <w:fldChar w:fldCharType="separate"/>
      </w:r>
      <w:r w:rsidRPr="00E90FEF">
        <w:rPr>
          <w:rFonts w:ascii="Arial" w:eastAsia="Times New Roman" w:hAnsi="Arial" w:cs="Arial"/>
          <w:color w:val="4D469C"/>
          <w:sz w:val="20"/>
          <w:lang w:val="de-DE" w:eastAsia="es-ES"/>
        </w:rPr>
        <w:t>http://de.wikipedia.org/wiki/Latein_im_Recht</w:t>
      </w:r>
      <w:r w:rsidRPr="00E90FEF">
        <w:rPr>
          <w:rFonts w:ascii="Arial" w:eastAsia="Times New Roman" w:hAnsi="Arial" w:cs="Arial"/>
          <w:color w:val="666666"/>
          <w:sz w:val="20"/>
          <w:szCs w:val="20"/>
          <w:lang w:val="fr-FR" w:eastAsia="es-ES"/>
        </w:rPr>
        <w:fldChar w:fldCharType="end"/>
      </w:r>
      <w:r w:rsidRPr="00E90FEF">
        <w:rPr>
          <w:rFonts w:ascii="Arial" w:eastAsia="Times New Roman" w:hAnsi="Arial" w:cs="Arial"/>
          <w:color w:val="666666"/>
          <w:sz w:val="20"/>
          <w:lang w:val="de-DE" w:eastAsia="es-ES"/>
        </w:rPr>
        <w:t> </w:t>
      </w:r>
    </w:p>
    <w:p w:rsidR="00E90FEF" w:rsidRPr="00E90FEF" w:rsidRDefault="00E90FEF" w:rsidP="00E90FEF">
      <w:pPr>
        <w:shd w:val="clear" w:color="auto" w:fill="FFFFFF"/>
        <w:spacing w:after="240" w:line="269" w:lineRule="atLeast"/>
        <w:rPr>
          <w:rFonts w:ascii="Arial" w:eastAsia="Times New Roman" w:hAnsi="Arial" w:cs="Arial"/>
          <w:color w:val="666666"/>
          <w:sz w:val="20"/>
          <w:szCs w:val="20"/>
          <w:lang w:val="de-DE" w:eastAsia="es-ES"/>
        </w:rPr>
      </w:pPr>
      <w:r w:rsidRPr="00E90FEF">
        <w:rPr>
          <w:rFonts w:ascii="Arial" w:eastAsia="Times New Roman" w:hAnsi="Arial" w:cs="Arial"/>
          <w:b/>
          <w:bCs/>
          <w:color w:val="252525"/>
          <w:sz w:val="21"/>
          <w:szCs w:val="21"/>
          <w:lang w:val="de-DE" w:eastAsia="es-ES"/>
        </w:rPr>
        <w:t>Alteri stipulari nemo potest </w:t>
      </w:r>
      <w:r w:rsidRPr="00E90FEF">
        <w:rPr>
          <w:rFonts w:ascii="Arial" w:eastAsia="Times New Roman" w:hAnsi="Arial" w:cs="Arial"/>
          <w:color w:val="252525"/>
          <w:sz w:val="21"/>
          <w:szCs w:val="21"/>
          <w:lang w:val="de-DE" w:eastAsia="es-ES"/>
        </w:rPr>
        <w:t>„Niemand kann sich etwas zu Gunsten eines Dritten versprechen lassen“: Gilt weder im deutschen noch im Schweizer Recht; hierzu: </w:t>
      </w:r>
      <w:r w:rsidRPr="00E90FEF">
        <w:rPr>
          <w:rFonts w:ascii="Arial" w:eastAsia="Times New Roman" w:hAnsi="Arial" w:cs="Arial"/>
          <w:color w:val="252525"/>
          <w:sz w:val="21"/>
          <w:szCs w:val="21"/>
          <w:lang w:eastAsia="es-ES"/>
        </w:rPr>
        <w:fldChar w:fldCharType="begin"/>
      </w:r>
      <w:r w:rsidRPr="00E90FEF">
        <w:rPr>
          <w:rFonts w:ascii="Arial" w:eastAsia="Times New Roman" w:hAnsi="Arial" w:cs="Arial"/>
          <w:color w:val="252525"/>
          <w:sz w:val="21"/>
          <w:szCs w:val="21"/>
          <w:lang w:val="de-DE" w:eastAsia="es-ES"/>
        </w:rPr>
        <w:instrText xml:space="preserve"> HYPERLINK "http://de.wikipedia.org/wiki/Vertrag_zugunsten_Dritter" \o "Vertrag zugunsten Dritter" </w:instrText>
      </w:r>
      <w:r w:rsidRPr="00E90FEF">
        <w:rPr>
          <w:rFonts w:ascii="Arial" w:eastAsia="Times New Roman" w:hAnsi="Arial" w:cs="Arial"/>
          <w:color w:val="252525"/>
          <w:sz w:val="21"/>
          <w:szCs w:val="21"/>
          <w:lang w:eastAsia="es-ES"/>
        </w:rPr>
        <w:fldChar w:fldCharType="separate"/>
      </w:r>
      <w:r w:rsidRPr="00E90FEF">
        <w:rPr>
          <w:rFonts w:ascii="Arial" w:eastAsia="Times New Roman" w:hAnsi="Arial" w:cs="Arial"/>
          <w:color w:val="0B0080"/>
          <w:sz w:val="21"/>
          <w:lang w:val="de-DE" w:eastAsia="es-ES"/>
        </w:rPr>
        <w:t>Vertrag zugunsten Dritter</w:t>
      </w:r>
      <w:r w:rsidRPr="00E90FEF">
        <w:rPr>
          <w:rFonts w:ascii="Arial" w:eastAsia="Times New Roman" w:hAnsi="Arial" w:cs="Arial"/>
          <w:color w:val="252525"/>
          <w:sz w:val="21"/>
          <w:szCs w:val="21"/>
          <w:lang w:eastAsia="es-ES"/>
        </w:rPr>
        <w:fldChar w:fldCharType="end"/>
      </w:r>
      <w:r w:rsidRPr="00E90FEF">
        <w:rPr>
          <w:rFonts w:ascii="Arial" w:eastAsia="Times New Roman" w:hAnsi="Arial" w:cs="Arial"/>
          <w:color w:val="252525"/>
          <w:sz w:val="21"/>
          <w:szCs w:val="21"/>
          <w:lang w:val="de-DE" w:eastAsia="es-ES"/>
        </w:rPr>
        <w:t> und </w:t>
      </w:r>
      <w:hyperlink r:id="rId4" w:tooltip="Vertrag mit Schutzwirkung zugunsten Dritter" w:history="1">
        <w:r w:rsidRPr="00E90FEF">
          <w:rPr>
            <w:rFonts w:ascii="Arial" w:eastAsia="Times New Roman" w:hAnsi="Arial" w:cs="Arial"/>
            <w:color w:val="0B0080"/>
            <w:sz w:val="21"/>
            <w:lang w:val="de-DE" w:eastAsia="es-ES"/>
          </w:rPr>
          <w:t>Vertrag mit Schutzwirkung für Dritte</w:t>
        </w:r>
      </w:hyperlink>
      <w:r w:rsidRPr="00E90FEF">
        <w:rPr>
          <w:rFonts w:ascii="Arial" w:eastAsia="Times New Roman" w:hAnsi="Arial" w:cs="Arial"/>
          <w:color w:val="252525"/>
          <w:sz w:val="21"/>
          <w:szCs w:val="21"/>
          <w:lang w:val="de-DE" w:eastAsia="es-ES"/>
        </w:rPr>
        <w:t>.</w:t>
      </w:r>
    </w:p>
    <w:p w:rsidR="00E90FEF" w:rsidRPr="00E90FEF" w:rsidRDefault="00E90FEF" w:rsidP="00E90FEF">
      <w:pPr>
        <w:shd w:val="clear" w:color="auto" w:fill="FFFFFF"/>
        <w:spacing w:after="24" w:line="269" w:lineRule="atLeast"/>
        <w:rPr>
          <w:rFonts w:ascii="Arial" w:eastAsia="Times New Roman" w:hAnsi="Arial" w:cs="Arial"/>
          <w:color w:val="666666"/>
          <w:sz w:val="20"/>
          <w:szCs w:val="20"/>
          <w:lang w:val="de-DE" w:eastAsia="es-ES"/>
        </w:rPr>
      </w:pPr>
      <w:hyperlink r:id="rId5" w:tooltip="Amicus curiae" w:history="1">
        <w:r w:rsidRPr="00E90FEF">
          <w:rPr>
            <w:rFonts w:ascii="Arial" w:eastAsia="Times New Roman" w:hAnsi="Arial" w:cs="Arial"/>
            <w:b/>
            <w:bCs/>
            <w:color w:val="0B0080"/>
            <w:sz w:val="21"/>
            <w:lang w:val="de-DE" w:eastAsia="es-ES"/>
          </w:rPr>
          <w:t>Amicus curiae</w:t>
        </w:r>
      </w:hyperlink>
      <w:r w:rsidRPr="00E90FEF">
        <w:rPr>
          <w:rFonts w:ascii="Arial" w:eastAsia="Times New Roman" w:hAnsi="Arial" w:cs="Arial"/>
          <w:color w:val="252525"/>
          <w:sz w:val="21"/>
          <w:szCs w:val="21"/>
          <w:lang w:val="de-DE" w:eastAsia="es-ES"/>
        </w:rPr>
        <w:t>„Freund des Gerichts“: Eine Person oder Organisation, die sich im </w:t>
      </w:r>
      <w:r w:rsidRPr="00E90FEF">
        <w:rPr>
          <w:rFonts w:ascii="Arial" w:eastAsia="Times New Roman" w:hAnsi="Arial" w:cs="Arial"/>
          <w:i/>
          <w:iCs/>
          <w:color w:val="252525"/>
          <w:sz w:val="21"/>
          <w:szCs w:val="21"/>
          <w:lang w:eastAsia="es-ES"/>
        </w:rPr>
        <w:fldChar w:fldCharType="begin"/>
      </w:r>
      <w:r w:rsidRPr="00E90FEF">
        <w:rPr>
          <w:rFonts w:ascii="Arial" w:eastAsia="Times New Roman" w:hAnsi="Arial" w:cs="Arial"/>
          <w:i/>
          <w:iCs/>
          <w:color w:val="252525"/>
          <w:sz w:val="21"/>
          <w:szCs w:val="21"/>
          <w:lang w:val="de-DE" w:eastAsia="es-ES"/>
        </w:rPr>
        <w:instrText xml:space="preserve"> HYPERLINK "http://de.wikipedia.org/wiki/Common_law" \o "Common law" </w:instrText>
      </w:r>
      <w:r w:rsidRPr="00E90FEF">
        <w:rPr>
          <w:rFonts w:ascii="Arial" w:eastAsia="Times New Roman" w:hAnsi="Arial" w:cs="Arial"/>
          <w:i/>
          <w:iCs/>
          <w:color w:val="252525"/>
          <w:sz w:val="21"/>
          <w:szCs w:val="21"/>
          <w:lang w:eastAsia="es-ES"/>
        </w:rPr>
        <w:fldChar w:fldCharType="separate"/>
      </w:r>
      <w:r w:rsidRPr="00E90FEF">
        <w:rPr>
          <w:rFonts w:ascii="Arial" w:eastAsia="Times New Roman" w:hAnsi="Arial" w:cs="Arial"/>
          <w:i/>
          <w:iCs/>
          <w:color w:val="0B0080"/>
          <w:sz w:val="21"/>
          <w:lang w:val="de-DE" w:eastAsia="es-ES"/>
        </w:rPr>
        <w:t>common law</w:t>
      </w:r>
      <w:r w:rsidRPr="00E90FEF">
        <w:rPr>
          <w:rFonts w:ascii="Arial" w:eastAsia="Times New Roman" w:hAnsi="Arial" w:cs="Arial"/>
          <w:i/>
          <w:iCs/>
          <w:color w:val="252525"/>
          <w:sz w:val="21"/>
          <w:szCs w:val="21"/>
          <w:lang w:eastAsia="es-ES"/>
        </w:rPr>
        <w:fldChar w:fldCharType="end"/>
      </w:r>
      <w:r w:rsidRPr="00E90FEF">
        <w:rPr>
          <w:rFonts w:ascii="Arial" w:eastAsia="Times New Roman" w:hAnsi="Arial" w:cs="Arial"/>
          <w:color w:val="252525"/>
          <w:sz w:val="21"/>
          <w:szCs w:val="21"/>
          <w:lang w:val="de-DE" w:eastAsia="es-ES"/>
        </w:rPr>
        <w:t> an einem Verfahren beteiligt, ohne Partei zu sein, und dem Gericht mit ihren Äußerungen hilft, eine Entscheidung zu finden.</w:t>
      </w:r>
      <w:r w:rsidRPr="00E90FEF">
        <w:rPr>
          <w:rFonts w:ascii="Arial" w:eastAsia="Times New Roman" w:hAnsi="Arial" w:cs="Arial"/>
          <w:color w:val="252525"/>
          <w:sz w:val="21"/>
          <w:lang w:val="de-DE" w:eastAsia="es-ES"/>
        </w:rPr>
        <w:t> </w:t>
      </w:r>
      <w:r w:rsidRPr="00E90FEF">
        <w:rPr>
          <w:rFonts w:ascii="Arial" w:eastAsia="Times New Roman" w:hAnsi="Arial" w:cs="Arial"/>
          <w:color w:val="252525"/>
          <w:sz w:val="21"/>
          <w:szCs w:val="21"/>
          <w:lang w:val="de-DE" w:eastAsia="es-ES"/>
        </w:rPr>
        <w:t>Diese Rechtsfigur ist dem deutschen wie dem schweizerischen Recht fremd.</w:t>
      </w:r>
    </w:p>
    <w:p w:rsidR="00E90FEF" w:rsidRPr="00E90FEF" w:rsidRDefault="00E90FEF" w:rsidP="00E90FEF">
      <w:pPr>
        <w:shd w:val="clear" w:color="auto" w:fill="FFFFFF"/>
        <w:spacing w:after="240" w:line="269" w:lineRule="atLeast"/>
        <w:rPr>
          <w:rFonts w:ascii="Arial" w:eastAsia="Times New Roman" w:hAnsi="Arial" w:cs="Arial"/>
          <w:color w:val="666666"/>
          <w:sz w:val="20"/>
          <w:szCs w:val="20"/>
          <w:lang w:val="de-DE" w:eastAsia="es-ES"/>
        </w:rPr>
      </w:pPr>
      <w:hyperlink r:id="rId6" w:tooltip="Animus auctoris" w:history="1">
        <w:r w:rsidRPr="00E90FEF">
          <w:rPr>
            <w:rFonts w:ascii="Arial" w:eastAsia="Times New Roman" w:hAnsi="Arial" w:cs="Arial"/>
            <w:b/>
            <w:bCs/>
            <w:color w:val="0B0080"/>
            <w:sz w:val="21"/>
            <w:lang w:val="de-DE" w:eastAsia="es-ES"/>
          </w:rPr>
          <w:t>Animus auctoris</w:t>
        </w:r>
      </w:hyperlink>
      <w:r w:rsidRPr="00E90FEF">
        <w:rPr>
          <w:rFonts w:ascii="Arial" w:eastAsia="Times New Roman" w:hAnsi="Arial" w:cs="Arial"/>
          <w:b/>
          <w:bCs/>
          <w:color w:val="252525"/>
          <w:sz w:val="21"/>
          <w:lang w:val="de-DE" w:eastAsia="es-ES"/>
        </w:rPr>
        <w:t> </w:t>
      </w:r>
      <w:r w:rsidRPr="00E90FEF">
        <w:rPr>
          <w:rFonts w:ascii="Arial" w:eastAsia="Times New Roman" w:hAnsi="Arial" w:cs="Arial"/>
          <w:color w:val="252525"/>
          <w:sz w:val="21"/>
          <w:szCs w:val="21"/>
          <w:lang w:val="de-DE" w:eastAsia="es-ES"/>
        </w:rPr>
        <w:t>„Urheberwille“: Im Strafrecht der Wille, eine Tat zu begehen, im Gegensatz zum Willen, sich nur an der Tat zu beteiligen (</w:t>
      </w:r>
      <w:r w:rsidRPr="00E90FEF">
        <w:rPr>
          <w:rFonts w:ascii="Arial" w:eastAsia="Times New Roman" w:hAnsi="Arial" w:cs="Arial"/>
          <w:i/>
          <w:iCs/>
          <w:color w:val="252525"/>
          <w:sz w:val="21"/>
          <w:szCs w:val="21"/>
          <w:lang w:val="de-DE" w:eastAsia="es-ES"/>
        </w:rPr>
        <w:t>animus socii</w:t>
      </w:r>
      <w:r w:rsidRPr="00E90FEF">
        <w:rPr>
          <w:rFonts w:ascii="Arial" w:eastAsia="Times New Roman" w:hAnsi="Arial" w:cs="Arial"/>
          <w:color w:val="252525"/>
          <w:sz w:val="21"/>
          <w:szCs w:val="21"/>
          <w:lang w:val="de-DE" w:eastAsia="es-ES"/>
        </w:rPr>
        <w:t>).</w:t>
      </w:r>
    </w:p>
    <w:p w:rsidR="00E90FEF" w:rsidRPr="00E90FEF" w:rsidRDefault="00E90FEF" w:rsidP="00E90FEF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666666"/>
          <w:sz w:val="20"/>
          <w:szCs w:val="20"/>
          <w:lang w:val="it-IT" w:eastAsia="es-ES"/>
        </w:rPr>
      </w:pPr>
      <w:hyperlink r:id="rId7" w:tooltip="Argumentum a fortiori" w:history="1">
        <w:r w:rsidRPr="00E90FEF">
          <w:rPr>
            <w:rFonts w:ascii="Arial" w:eastAsia="Times New Roman" w:hAnsi="Arial" w:cs="Arial"/>
            <w:b/>
            <w:bCs/>
            <w:color w:val="0B0080"/>
            <w:sz w:val="21"/>
            <w:lang w:val="de-DE" w:eastAsia="es-ES"/>
          </w:rPr>
          <w:t>Argumentum a fortiori</w:t>
        </w:r>
      </w:hyperlink>
      <w:r w:rsidRPr="00E90FEF">
        <w:rPr>
          <w:rFonts w:ascii="Arial" w:eastAsia="Times New Roman" w:hAnsi="Arial" w:cs="Arial"/>
          <w:b/>
          <w:bCs/>
          <w:color w:val="252525"/>
          <w:sz w:val="21"/>
          <w:lang w:val="de-DE" w:eastAsia="es-ES"/>
        </w:rPr>
        <w:t> </w:t>
      </w:r>
      <w:r w:rsidRPr="00E90FEF">
        <w:rPr>
          <w:rFonts w:ascii="Arial" w:eastAsia="Times New Roman" w:hAnsi="Arial" w:cs="Arial"/>
          <w:color w:val="252525"/>
          <w:sz w:val="21"/>
          <w:szCs w:val="21"/>
          <w:lang w:val="de-DE" w:eastAsia="es-ES"/>
        </w:rPr>
        <w:t xml:space="preserve">„Schluss vom Stärkeren her“: Analogieschluss (Größenschluss). </w:t>
      </w:r>
      <w:r w:rsidRPr="00E90FEF">
        <w:rPr>
          <w:rFonts w:ascii="Arial" w:eastAsia="Times New Roman" w:hAnsi="Arial" w:cs="Arial"/>
          <w:color w:val="252525"/>
          <w:sz w:val="21"/>
          <w:szCs w:val="21"/>
          <w:lang w:val="it-IT" w:eastAsia="es-ES"/>
        </w:rPr>
        <w:t>Siehe </w:t>
      </w:r>
      <w:r w:rsidRPr="00E90FEF">
        <w:rPr>
          <w:rFonts w:ascii="Arial" w:eastAsia="Times New Roman" w:hAnsi="Arial" w:cs="Arial"/>
          <w:i/>
          <w:iCs/>
          <w:color w:val="252525"/>
          <w:sz w:val="21"/>
          <w:szCs w:val="21"/>
          <w:lang w:val="it-IT" w:eastAsia="es-ES"/>
        </w:rPr>
        <w:t>argumentum a maiori ad minus</w:t>
      </w:r>
      <w:r w:rsidRPr="00E90FEF">
        <w:rPr>
          <w:rFonts w:ascii="Arial" w:eastAsia="Times New Roman" w:hAnsi="Arial" w:cs="Arial"/>
          <w:color w:val="252525"/>
          <w:sz w:val="21"/>
          <w:szCs w:val="21"/>
          <w:lang w:val="it-IT" w:eastAsia="es-ES"/>
        </w:rPr>
        <w:t> und</w:t>
      </w:r>
      <w:r w:rsidRPr="00E90FEF">
        <w:rPr>
          <w:rFonts w:ascii="Arial" w:eastAsia="Times New Roman" w:hAnsi="Arial" w:cs="Arial"/>
          <w:i/>
          <w:iCs/>
          <w:color w:val="252525"/>
          <w:sz w:val="21"/>
          <w:szCs w:val="21"/>
          <w:lang w:val="it-IT" w:eastAsia="es-ES"/>
        </w:rPr>
        <w:t>argumentum a minori ad maius.</w:t>
      </w:r>
    </w:p>
    <w:p w:rsidR="00E90FEF" w:rsidRPr="00E90FEF" w:rsidRDefault="00E90FEF" w:rsidP="00E90FEF">
      <w:pPr>
        <w:shd w:val="clear" w:color="auto" w:fill="FFFFFF"/>
        <w:spacing w:after="24" w:line="269" w:lineRule="atLeast"/>
        <w:rPr>
          <w:rFonts w:ascii="Arial" w:eastAsia="Times New Roman" w:hAnsi="Arial" w:cs="Arial"/>
          <w:color w:val="666666"/>
          <w:sz w:val="20"/>
          <w:szCs w:val="20"/>
          <w:lang w:val="de-DE" w:eastAsia="es-ES"/>
        </w:rPr>
      </w:pPr>
      <w:hyperlink r:id="rId8" w:tooltip="Argumentum a maiori ad minus" w:history="1">
        <w:r w:rsidRPr="00E90FEF">
          <w:rPr>
            <w:rFonts w:ascii="Arial" w:eastAsia="Times New Roman" w:hAnsi="Arial" w:cs="Arial"/>
            <w:b/>
            <w:bCs/>
            <w:color w:val="0B0080"/>
            <w:sz w:val="21"/>
            <w:lang w:val="de-DE" w:eastAsia="es-ES"/>
          </w:rPr>
          <w:t>Argumentum a maiori ad minus</w:t>
        </w:r>
      </w:hyperlink>
      <w:r w:rsidRPr="00E90FEF">
        <w:rPr>
          <w:rFonts w:ascii="Arial" w:eastAsia="Times New Roman" w:hAnsi="Arial" w:cs="Arial"/>
          <w:b/>
          <w:bCs/>
          <w:color w:val="252525"/>
          <w:sz w:val="21"/>
          <w:lang w:val="de-DE" w:eastAsia="es-ES"/>
        </w:rPr>
        <w:t> </w:t>
      </w:r>
      <w:r w:rsidRPr="00E90FEF">
        <w:rPr>
          <w:rFonts w:ascii="Arial" w:eastAsia="Times New Roman" w:hAnsi="Arial" w:cs="Arial"/>
          <w:color w:val="252525"/>
          <w:sz w:val="21"/>
          <w:szCs w:val="21"/>
          <w:lang w:val="de-DE" w:eastAsia="es-ES"/>
        </w:rPr>
        <w:t>„Schluss vom Größeren auf das Kleinere“.</w:t>
      </w:r>
    </w:p>
    <w:p w:rsidR="00E90FEF" w:rsidRPr="00E90FEF" w:rsidRDefault="00E90FEF" w:rsidP="00E90FEF">
      <w:pPr>
        <w:shd w:val="clear" w:color="auto" w:fill="FFFFFF"/>
        <w:spacing w:after="240" w:line="269" w:lineRule="atLeast"/>
        <w:rPr>
          <w:rFonts w:ascii="Arial" w:eastAsia="Times New Roman" w:hAnsi="Arial" w:cs="Arial"/>
          <w:color w:val="666666"/>
          <w:sz w:val="20"/>
          <w:szCs w:val="20"/>
          <w:lang w:val="de-DE" w:eastAsia="es-ES"/>
        </w:rPr>
      </w:pPr>
      <w:hyperlink r:id="rId9" w:tooltip="Argumentum a minori ad maius" w:history="1">
        <w:r w:rsidRPr="00E90FEF">
          <w:rPr>
            <w:rFonts w:ascii="Arial" w:eastAsia="Times New Roman" w:hAnsi="Arial" w:cs="Arial"/>
            <w:b/>
            <w:bCs/>
            <w:color w:val="0B0080"/>
            <w:sz w:val="21"/>
            <w:lang w:val="de-DE" w:eastAsia="es-ES"/>
          </w:rPr>
          <w:t>Argumentum a minori ad maius</w:t>
        </w:r>
      </w:hyperlink>
      <w:r w:rsidRPr="00E90FEF">
        <w:rPr>
          <w:rFonts w:ascii="Arial" w:eastAsia="Times New Roman" w:hAnsi="Arial" w:cs="Arial"/>
          <w:b/>
          <w:bCs/>
          <w:color w:val="252525"/>
          <w:sz w:val="21"/>
          <w:lang w:val="de-DE" w:eastAsia="es-ES"/>
        </w:rPr>
        <w:t> </w:t>
      </w:r>
      <w:r w:rsidRPr="00E90FEF">
        <w:rPr>
          <w:rFonts w:ascii="Arial" w:eastAsia="Times New Roman" w:hAnsi="Arial" w:cs="Arial"/>
          <w:color w:val="252525"/>
          <w:sz w:val="21"/>
          <w:szCs w:val="21"/>
          <w:lang w:val="de-DE" w:eastAsia="es-ES"/>
        </w:rPr>
        <w:t>„Schluss vom Kleineren auf das Größere“.</w:t>
      </w:r>
    </w:p>
    <w:p w:rsidR="00E90FEF" w:rsidRPr="00E90FEF" w:rsidRDefault="00E90FEF" w:rsidP="00E90FEF">
      <w:pPr>
        <w:shd w:val="clear" w:color="auto" w:fill="FFFFFF"/>
        <w:spacing w:after="240" w:line="269" w:lineRule="atLeast"/>
        <w:rPr>
          <w:rFonts w:ascii="Arial" w:eastAsia="Times New Roman" w:hAnsi="Arial" w:cs="Arial"/>
          <w:color w:val="666666"/>
          <w:sz w:val="20"/>
          <w:szCs w:val="20"/>
          <w:lang w:val="de-DE" w:eastAsia="es-ES"/>
        </w:rPr>
      </w:pPr>
      <w:r w:rsidRPr="00E90FEF">
        <w:rPr>
          <w:rFonts w:ascii="Arial" w:eastAsia="Times New Roman" w:hAnsi="Arial" w:cs="Arial"/>
          <w:b/>
          <w:bCs/>
          <w:color w:val="252525"/>
          <w:sz w:val="21"/>
          <w:szCs w:val="21"/>
          <w:lang w:val="de-DE" w:eastAsia="es-ES"/>
        </w:rPr>
        <w:t>Argumentum ad absurdum</w:t>
      </w:r>
      <w:r w:rsidRPr="00E90FEF">
        <w:rPr>
          <w:rFonts w:ascii="Arial" w:eastAsia="Times New Roman" w:hAnsi="Arial" w:cs="Arial"/>
          <w:b/>
          <w:bCs/>
          <w:color w:val="252525"/>
          <w:sz w:val="21"/>
          <w:lang w:val="de-DE" w:eastAsia="es-ES"/>
        </w:rPr>
        <w:t> </w:t>
      </w:r>
      <w:r w:rsidRPr="00E90FEF">
        <w:rPr>
          <w:rFonts w:ascii="Arial" w:eastAsia="Times New Roman" w:hAnsi="Arial" w:cs="Arial"/>
          <w:color w:val="252525"/>
          <w:sz w:val="21"/>
          <w:szCs w:val="21"/>
          <w:lang w:val="de-DE" w:eastAsia="es-ES"/>
        </w:rPr>
        <w:t>„Schluss aus dem Absurden“:</w:t>
      </w:r>
    </w:p>
    <w:p w:rsidR="00E90FEF" w:rsidRPr="00E90FEF" w:rsidRDefault="00E90FEF" w:rsidP="00E90FEF">
      <w:pPr>
        <w:shd w:val="clear" w:color="auto" w:fill="FFFFFF"/>
        <w:spacing w:after="240" w:line="269" w:lineRule="atLeast"/>
        <w:rPr>
          <w:rFonts w:ascii="Arial" w:eastAsia="Times New Roman" w:hAnsi="Arial" w:cs="Arial"/>
          <w:color w:val="666666"/>
          <w:sz w:val="20"/>
          <w:szCs w:val="20"/>
          <w:lang w:val="de-DE" w:eastAsia="es-ES"/>
        </w:rPr>
      </w:pPr>
      <w:hyperlink r:id="rId10" w:tooltip="Certiorari" w:history="1">
        <w:r w:rsidRPr="00E90FEF">
          <w:rPr>
            <w:rFonts w:ascii="Arial" w:eastAsia="Times New Roman" w:hAnsi="Arial" w:cs="Arial"/>
            <w:b/>
            <w:bCs/>
            <w:color w:val="0B0080"/>
            <w:sz w:val="21"/>
            <w:lang w:val="de-DE" w:eastAsia="es-ES"/>
          </w:rPr>
          <w:t>Certiorari</w:t>
        </w:r>
      </w:hyperlink>
      <w:r w:rsidRPr="00E90FEF">
        <w:rPr>
          <w:rFonts w:ascii="Arial" w:eastAsia="Times New Roman" w:hAnsi="Arial" w:cs="Arial"/>
          <w:b/>
          <w:bCs/>
          <w:color w:val="252525"/>
          <w:sz w:val="21"/>
          <w:lang w:val="de-DE" w:eastAsia="es-ES"/>
        </w:rPr>
        <w:t> </w:t>
      </w:r>
      <w:r w:rsidRPr="00E90FEF">
        <w:rPr>
          <w:rFonts w:ascii="Arial" w:eastAsia="Times New Roman" w:hAnsi="Arial" w:cs="Arial"/>
          <w:color w:val="252525"/>
          <w:sz w:val="21"/>
          <w:szCs w:val="21"/>
          <w:lang w:val="de-DE" w:eastAsia="es-ES"/>
        </w:rPr>
        <w:t> Als Rechtsbegriff bedeutet </w:t>
      </w:r>
      <w:r w:rsidRPr="00E90FEF">
        <w:rPr>
          <w:rFonts w:ascii="Arial" w:eastAsia="Times New Roman" w:hAnsi="Arial" w:cs="Arial"/>
          <w:i/>
          <w:iCs/>
          <w:color w:val="252525"/>
          <w:sz w:val="21"/>
          <w:szCs w:val="21"/>
          <w:lang w:val="de-DE" w:eastAsia="es-ES"/>
        </w:rPr>
        <w:t>certiorari</w:t>
      </w:r>
      <w:r w:rsidRPr="00E90FEF">
        <w:rPr>
          <w:rFonts w:ascii="Arial" w:eastAsia="Times New Roman" w:hAnsi="Arial" w:cs="Arial"/>
          <w:color w:val="252525"/>
          <w:sz w:val="21"/>
          <w:szCs w:val="21"/>
          <w:lang w:val="de-DE" w:eastAsia="es-ES"/>
        </w:rPr>
        <w:t>, dass sich ein übergeordnetes an ein untergeordnetes Gericht wendet, um seine Entscheidung zu überprüfen (römisches Recht) oder die Akten eines Falles anzufordern (modernes europäisches Recht).</w:t>
      </w:r>
    </w:p>
    <w:p w:rsidR="00E90FEF" w:rsidRPr="00E90FEF" w:rsidRDefault="00E90FEF" w:rsidP="00E90FEF">
      <w:pPr>
        <w:shd w:val="clear" w:color="auto" w:fill="FFFFFF"/>
        <w:spacing w:after="240" w:line="269" w:lineRule="atLeast"/>
        <w:rPr>
          <w:rFonts w:ascii="Arial" w:eastAsia="Times New Roman" w:hAnsi="Arial" w:cs="Arial"/>
          <w:color w:val="666666"/>
          <w:sz w:val="20"/>
          <w:szCs w:val="20"/>
          <w:lang w:val="de-DE" w:eastAsia="es-ES"/>
        </w:rPr>
      </w:pPr>
      <w:hyperlink r:id="rId11" w:tooltip="Coram publico" w:history="1">
        <w:r w:rsidRPr="00E90FEF">
          <w:rPr>
            <w:rFonts w:ascii="Arial" w:eastAsia="Times New Roman" w:hAnsi="Arial" w:cs="Arial"/>
            <w:b/>
            <w:bCs/>
            <w:color w:val="0B0080"/>
            <w:sz w:val="21"/>
            <w:lang w:val="de-DE" w:eastAsia="es-ES"/>
          </w:rPr>
          <w:t>Coram publico</w:t>
        </w:r>
      </w:hyperlink>
      <w:r w:rsidRPr="00E90FEF">
        <w:rPr>
          <w:rFonts w:ascii="Arial" w:eastAsia="Times New Roman" w:hAnsi="Arial" w:cs="Arial"/>
          <w:b/>
          <w:bCs/>
          <w:color w:val="252525"/>
          <w:sz w:val="21"/>
          <w:lang w:val="de-DE" w:eastAsia="es-ES"/>
        </w:rPr>
        <w:t> </w:t>
      </w:r>
      <w:r w:rsidRPr="00E90FEF">
        <w:rPr>
          <w:rFonts w:ascii="Arial" w:eastAsia="Times New Roman" w:hAnsi="Arial" w:cs="Arial"/>
          <w:color w:val="252525"/>
          <w:sz w:val="21"/>
          <w:szCs w:val="21"/>
          <w:lang w:val="de-DE" w:eastAsia="es-ES"/>
        </w:rPr>
        <w:t>"In aller Öffentlichkeit": Schauprozess; vor den Augen der Öffentlichkeit ausgetragener Prozess.</w:t>
      </w:r>
    </w:p>
    <w:p w:rsidR="00E90FEF" w:rsidRPr="00E90FEF" w:rsidRDefault="00E90FEF" w:rsidP="00E90FEF">
      <w:pPr>
        <w:shd w:val="clear" w:color="auto" w:fill="FFFFFF"/>
        <w:spacing w:after="24" w:line="269" w:lineRule="atLeast"/>
        <w:rPr>
          <w:rFonts w:ascii="Arial" w:eastAsia="Times New Roman" w:hAnsi="Arial" w:cs="Arial"/>
          <w:color w:val="666666"/>
          <w:sz w:val="20"/>
          <w:szCs w:val="20"/>
          <w:lang w:val="it-IT" w:eastAsia="es-ES"/>
        </w:rPr>
      </w:pPr>
      <w:r w:rsidRPr="00E90FEF">
        <w:rPr>
          <w:rFonts w:ascii="Arial" w:eastAsia="Times New Roman" w:hAnsi="Arial" w:cs="Arial"/>
          <w:b/>
          <w:bCs/>
          <w:color w:val="252525"/>
          <w:sz w:val="21"/>
          <w:szCs w:val="21"/>
          <w:lang w:val="it-IT" w:eastAsia="es-ES"/>
        </w:rPr>
        <w:t>Culpa lata</w:t>
      </w:r>
      <w:r w:rsidRPr="00E90FEF">
        <w:rPr>
          <w:rFonts w:ascii="Arial" w:eastAsia="Times New Roman" w:hAnsi="Arial" w:cs="Arial"/>
          <w:b/>
          <w:bCs/>
          <w:color w:val="252525"/>
          <w:sz w:val="21"/>
          <w:lang w:val="it-IT" w:eastAsia="es-ES"/>
        </w:rPr>
        <w:t> </w:t>
      </w:r>
      <w:r w:rsidRPr="00E90FEF">
        <w:rPr>
          <w:rFonts w:ascii="Arial" w:eastAsia="Times New Roman" w:hAnsi="Arial" w:cs="Arial"/>
          <w:color w:val="252525"/>
          <w:sz w:val="21"/>
          <w:szCs w:val="21"/>
          <w:lang w:val="it-IT" w:eastAsia="es-ES"/>
        </w:rPr>
        <w:t>„Grobe Fahrlässigkeit“. (negligencia grave o grosera).</w:t>
      </w:r>
    </w:p>
    <w:p w:rsidR="00E90FEF" w:rsidRPr="00E90FEF" w:rsidRDefault="00E90FEF" w:rsidP="00E90FEF">
      <w:pPr>
        <w:shd w:val="clear" w:color="auto" w:fill="FFFFFF"/>
        <w:spacing w:after="24" w:line="269" w:lineRule="atLeast"/>
        <w:rPr>
          <w:rFonts w:ascii="Arial" w:eastAsia="Times New Roman" w:hAnsi="Arial" w:cs="Arial"/>
          <w:color w:val="666666"/>
          <w:sz w:val="20"/>
          <w:szCs w:val="20"/>
          <w:lang w:val="de-DE" w:eastAsia="es-ES"/>
        </w:rPr>
      </w:pPr>
      <w:r w:rsidRPr="00E90FEF">
        <w:rPr>
          <w:rFonts w:ascii="Arial" w:eastAsia="Times New Roman" w:hAnsi="Arial" w:cs="Arial"/>
          <w:b/>
          <w:bCs/>
          <w:color w:val="252525"/>
          <w:sz w:val="21"/>
          <w:szCs w:val="21"/>
          <w:lang w:val="de-DE" w:eastAsia="es-ES"/>
        </w:rPr>
        <w:t>Culpa levis</w:t>
      </w:r>
      <w:r w:rsidRPr="00E90FEF">
        <w:rPr>
          <w:rFonts w:ascii="Arial" w:eastAsia="Times New Roman" w:hAnsi="Arial" w:cs="Arial"/>
          <w:b/>
          <w:bCs/>
          <w:color w:val="252525"/>
          <w:sz w:val="21"/>
          <w:lang w:val="de-DE" w:eastAsia="es-ES"/>
        </w:rPr>
        <w:t> </w:t>
      </w:r>
      <w:r w:rsidRPr="00E90FEF">
        <w:rPr>
          <w:rFonts w:ascii="Arial" w:eastAsia="Times New Roman" w:hAnsi="Arial" w:cs="Arial"/>
          <w:color w:val="252525"/>
          <w:sz w:val="21"/>
          <w:szCs w:val="21"/>
          <w:lang w:val="de-DE" w:eastAsia="es-ES"/>
        </w:rPr>
        <w:t>„Leichte Fahrlässigkeit“: Wird unterschieden in </w:t>
      </w:r>
      <w:r w:rsidRPr="00E90FEF">
        <w:rPr>
          <w:rFonts w:ascii="Arial" w:eastAsia="Times New Roman" w:hAnsi="Arial" w:cs="Arial"/>
          <w:i/>
          <w:iCs/>
          <w:color w:val="252525"/>
          <w:sz w:val="21"/>
          <w:szCs w:val="21"/>
          <w:lang w:val="de-DE" w:eastAsia="es-ES"/>
        </w:rPr>
        <w:t>culpa levis in abstracto</w:t>
      </w:r>
      <w:r w:rsidRPr="00E90FEF">
        <w:rPr>
          <w:rFonts w:ascii="Arial" w:eastAsia="Times New Roman" w:hAnsi="Arial" w:cs="Arial"/>
          <w:color w:val="252525"/>
          <w:sz w:val="21"/>
          <w:szCs w:val="21"/>
          <w:lang w:val="de-DE" w:eastAsia="es-ES"/>
        </w:rPr>
        <w:t> und </w:t>
      </w:r>
      <w:r w:rsidRPr="00E90FEF">
        <w:rPr>
          <w:rFonts w:ascii="Arial" w:eastAsia="Times New Roman" w:hAnsi="Arial" w:cs="Arial"/>
          <w:i/>
          <w:iCs/>
          <w:color w:val="252525"/>
          <w:sz w:val="21"/>
          <w:szCs w:val="21"/>
          <w:lang w:val="de-DE" w:eastAsia="es-ES"/>
        </w:rPr>
        <w:t>culpa levis in concreto,</w:t>
      </w:r>
      <w:r w:rsidRPr="00E90FEF">
        <w:rPr>
          <w:rFonts w:ascii="Arial" w:eastAsia="Times New Roman" w:hAnsi="Arial" w:cs="Arial"/>
          <w:color w:val="252525"/>
          <w:sz w:val="21"/>
          <w:szCs w:val="21"/>
          <w:lang w:val="de-DE" w:eastAsia="es-ES"/>
        </w:rPr>
        <w:t> je nachdem ob der</w:t>
      </w:r>
      <w:r w:rsidRPr="00E90FEF">
        <w:rPr>
          <w:rFonts w:ascii="Arial" w:eastAsia="Times New Roman" w:hAnsi="Arial" w:cs="Arial"/>
          <w:i/>
          <w:iCs/>
          <w:color w:val="252525"/>
          <w:sz w:val="21"/>
          <w:szCs w:val="21"/>
          <w:lang w:val="de-DE" w:eastAsia="es-ES"/>
        </w:rPr>
        <w:t>bonus pater familias</w:t>
      </w:r>
      <w:r w:rsidRPr="00E90FEF">
        <w:rPr>
          <w:rFonts w:ascii="Arial" w:eastAsia="Times New Roman" w:hAnsi="Arial" w:cs="Arial"/>
          <w:color w:val="252525"/>
          <w:sz w:val="21"/>
          <w:szCs w:val="21"/>
          <w:lang w:val="de-DE" w:eastAsia="es-ES"/>
        </w:rPr>
        <w:t> oder das alltägliche Verhalten einer Person als Referenz gilt.</w:t>
      </w:r>
    </w:p>
    <w:p w:rsidR="00E90FEF" w:rsidRPr="00E90FEF" w:rsidRDefault="00E90FEF" w:rsidP="00E90FEF">
      <w:pPr>
        <w:shd w:val="clear" w:color="auto" w:fill="FFFFFF"/>
        <w:spacing w:after="240" w:line="269" w:lineRule="atLeast"/>
        <w:rPr>
          <w:rFonts w:ascii="Arial" w:eastAsia="Times New Roman" w:hAnsi="Arial" w:cs="Arial"/>
          <w:color w:val="666666"/>
          <w:sz w:val="20"/>
          <w:szCs w:val="20"/>
          <w:lang w:eastAsia="es-ES"/>
        </w:rPr>
      </w:pPr>
      <w:r w:rsidRPr="00E90FEF">
        <w:rPr>
          <w:rFonts w:ascii="Arial" w:eastAsia="Times New Roman" w:hAnsi="Arial" w:cs="Arial"/>
          <w:b/>
          <w:bCs/>
          <w:color w:val="252525"/>
          <w:sz w:val="21"/>
          <w:szCs w:val="21"/>
          <w:lang w:eastAsia="es-ES"/>
        </w:rPr>
        <w:t xml:space="preserve">Culpa </w:t>
      </w:r>
      <w:proofErr w:type="spellStart"/>
      <w:r w:rsidRPr="00E90FEF">
        <w:rPr>
          <w:rFonts w:ascii="Arial" w:eastAsia="Times New Roman" w:hAnsi="Arial" w:cs="Arial"/>
          <w:b/>
          <w:bCs/>
          <w:color w:val="252525"/>
          <w:sz w:val="21"/>
          <w:szCs w:val="21"/>
          <w:lang w:eastAsia="es-ES"/>
        </w:rPr>
        <w:t>levissima</w:t>
      </w:r>
      <w:proofErr w:type="spellEnd"/>
      <w:r w:rsidRPr="00E90FEF">
        <w:rPr>
          <w:rFonts w:ascii="Arial" w:eastAsia="Times New Roman" w:hAnsi="Arial" w:cs="Arial"/>
          <w:b/>
          <w:bCs/>
          <w:color w:val="252525"/>
          <w:sz w:val="21"/>
          <w:lang w:eastAsia="es-ES"/>
        </w:rPr>
        <w:t> </w:t>
      </w:r>
      <w:r w:rsidRPr="00E90FEF">
        <w:rPr>
          <w:rFonts w:ascii="Arial" w:eastAsia="Times New Roman" w:hAnsi="Arial" w:cs="Arial"/>
          <w:color w:val="252525"/>
          <w:sz w:val="21"/>
          <w:szCs w:val="21"/>
          <w:lang w:eastAsia="es-ES"/>
        </w:rPr>
        <w:t>„</w:t>
      </w:r>
      <w:proofErr w:type="spellStart"/>
      <w:r w:rsidRPr="00E90FEF">
        <w:rPr>
          <w:rFonts w:ascii="Arial" w:eastAsia="Times New Roman" w:hAnsi="Arial" w:cs="Arial"/>
          <w:color w:val="252525"/>
          <w:sz w:val="21"/>
          <w:szCs w:val="21"/>
          <w:lang w:eastAsia="es-ES"/>
        </w:rPr>
        <w:t>Leichteste</w:t>
      </w:r>
      <w:proofErr w:type="spellEnd"/>
      <w:r w:rsidRPr="00E90FEF">
        <w:rPr>
          <w:rFonts w:ascii="Arial" w:eastAsia="Times New Roman" w:hAnsi="Arial" w:cs="Arial"/>
          <w:color w:val="252525"/>
          <w:sz w:val="21"/>
          <w:szCs w:val="21"/>
          <w:lang w:eastAsia="es-ES"/>
        </w:rPr>
        <w:t xml:space="preserve"> </w:t>
      </w:r>
      <w:proofErr w:type="spellStart"/>
      <w:r w:rsidRPr="00E90FEF">
        <w:rPr>
          <w:rFonts w:ascii="Arial" w:eastAsia="Times New Roman" w:hAnsi="Arial" w:cs="Arial"/>
          <w:color w:val="252525"/>
          <w:sz w:val="21"/>
          <w:szCs w:val="21"/>
          <w:lang w:eastAsia="es-ES"/>
        </w:rPr>
        <w:t>Fahrlässigkeit</w:t>
      </w:r>
      <w:proofErr w:type="spellEnd"/>
      <w:r w:rsidRPr="00E90FEF">
        <w:rPr>
          <w:rFonts w:ascii="Arial" w:eastAsia="Times New Roman" w:hAnsi="Arial" w:cs="Arial"/>
          <w:color w:val="252525"/>
          <w:sz w:val="21"/>
          <w:szCs w:val="21"/>
          <w:lang w:eastAsia="es-ES"/>
        </w:rPr>
        <w:t>“.</w:t>
      </w:r>
    </w:p>
    <w:p w:rsidR="00E90FEF" w:rsidRPr="00E90FEF" w:rsidRDefault="00E90FEF" w:rsidP="00E90FEF">
      <w:pPr>
        <w:shd w:val="clear" w:color="auto" w:fill="FFFFFF"/>
        <w:spacing w:after="240" w:line="269" w:lineRule="atLeast"/>
        <w:rPr>
          <w:rFonts w:ascii="Arial" w:eastAsia="Times New Roman" w:hAnsi="Arial" w:cs="Arial"/>
          <w:color w:val="666666"/>
          <w:sz w:val="20"/>
          <w:szCs w:val="20"/>
          <w:lang w:val="de-DE" w:eastAsia="es-ES"/>
        </w:rPr>
      </w:pPr>
      <w:hyperlink r:id="rId12" w:tooltip="In dubio mitius" w:history="1">
        <w:r w:rsidRPr="00E90FEF">
          <w:rPr>
            <w:rFonts w:ascii="Arial" w:eastAsia="Times New Roman" w:hAnsi="Arial" w:cs="Arial"/>
            <w:b/>
            <w:bCs/>
            <w:color w:val="0B0080"/>
            <w:sz w:val="21"/>
            <w:lang w:val="de-DE" w:eastAsia="es-ES"/>
          </w:rPr>
          <w:t>In dubio mitius</w:t>
        </w:r>
      </w:hyperlink>
      <w:r w:rsidRPr="00E90FEF">
        <w:rPr>
          <w:rFonts w:ascii="Arial" w:eastAsia="Times New Roman" w:hAnsi="Arial" w:cs="Arial"/>
          <w:b/>
          <w:bCs/>
          <w:color w:val="252525"/>
          <w:sz w:val="21"/>
          <w:lang w:val="de-DE" w:eastAsia="es-ES"/>
        </w:rPr>
        <w:t> </w:t>
      </w:r>
      <w:r w:rsidRPr="00E90FEF">
        <w:rPr>
          <w:rFonts w:ascii="Arial" w:eastAsia="Times New Roman" w:hAnsi="Arial" w:cs="Arial"/>
          <w:color w:val="252525"/>
          <w:sz w:val="21"/>
          <w:szCs w:val="21"/>
          <w:lang w:val="de-DE" w:eastAsia="es-ES"/>
        </w:rPr>
        <w:t>„Im Zweifel das Mildere“: Variante von </w:t>
      </w:r>
      <w:r w:rsidRPr="00E90FEF">
        <w:rPr>
          <w:rFonts w:ascii="Arial" w:eastAsia="Times New Roman" w:hAnsi="Arial" w:cs="Arial"/>
          <w:i/>
          <w:iCs/>
          <w:color w:val="252525"/>
          <w:sz w:val="21"/>
          <w:szCs w:val="21"/>
          <w:lang w:val="de-DE" w:eastAsia="es-ES"/>
        </w:rPr>
        <w:t>in dubio pro reo</w:t>
      </w:r>
      <w:r w:rsidRPr="00E90FEF">
        <w:rPr>
          <w:rFonts w:ascii="Arial" w:eastAsia="Times New Roman" w:hAnsi="Arial" w:cs="Arial"/>
          <w:color w:val="252525"/>
          <w:sz w:val="21"/>
          <w:szCs w:val="21"/>
          <w:lang w:val="de-DE" w:eastAsia="es-ES"/>
        </w:rPr>
        <w:t>, wonach von zwei Strafnormen die mildere Anwendung findet, wenn die strafverschärfenden Elemente der schärferen nicht bewiesen werden können. Beispiel: Es konnte bewiesen werden, dass jemand eine andere Person getötet hat, aber nicht, dass sie dabei niedere Beweggründe hatte. Damit kommt unter den </w:t>
      </w:r>
      <w:hyperlink r:id="rId13" w:tooltip="Tötungsdelikt" w:history="1">
        <w:r w:rsidRPr="00E90FEF">
          <w:rPr>
            <w:rFonts w:ascii="Arial" w:eastAsia="Times New Roman" w:hAnsi="Arial" w:cs="Arial"/>
            <w:color w:val="0B0080"/>
            <w:sz w:val="21"/>
            <w:lang w:val="de-DE" w:eastAsia="es-ES"/>
          </w:rPr>
          <w:t>Tötungsdelikten</w:t>
        </w:r>
      </w:hyperlink>
      <w:r w:rsidRPr="00E90FEF">
        <w:rPr>
          <w:rFonts w:ascii="Arial" w:eastAsia="Times New Roman" w:hAnsi="Arial" w:cs="Arial"/>
          <w:color w:val="252525"/>
          <w:sz w:val="21"/>
          <w:szCs w:val="21"/>
          <w:lang w:val="de-DE" w:eastAsia="es-ES"/>
        </w:rPr>
        <w:t> die Bestrafung aus der Norm über </w:t>
      </w:r>
      <w:hyperlink r:id="rId14" w:tooltip="Totschlag (Deutschland)" w:history="1">
        <w:r w:rsidRPr="00E90FEF">
          <w:rPr>
            <w:rFonts w:ascii="Arial" w:eastAsia="Times New Roman" w:hAnsi="Arial" w:cs="Arial"/>
            <w:color w:val="0B0080"/>
            <w:sz w:val="21"/>
            <w:lang w:val="de-DE" w:eastAsia="es-ES"/>
          </w:rPr>
          <w:t>Totschlags</w:t>
        </w:r>
      </w:hyperlink>
      <w:r w:rsidRPr="00E90FEF">
        <w:rPr>
          <w:rFonts w:ascii="Arial" w:eastAsia="Times New Roman" w:hAnsi="Arial" w:cs="Arial"/>
          <w:color w:val="252525"/>
          <w:sz w:val="21"/>
          <w:szCs w:val="21"/>
          <w:lang w:val="de-DE" w:eastAsia="es-ES"/>
        </w:rPr>
        <w:t> (deutsches Recht) bzw. über </w:t>
      </w:r>
      <w:hyperlink r:id="rId15" w:tooltip="Vorsätzliche Tötung (Schweiz)" w:history="1">
        <w:r w:rsidRPr="00E90FEF">
          <w:rPr>
            <w:rFonts w:ascii="Arial" w:eastAsia="Times New Roman" w:hAnsi="Arial" w:cs="Arial"/>
            <w:color w:val="0B0080"/>
            <w:sz w:val="21"/>
            <w:lang w:val="de-DE" w:eastAsia="es-ES"/>
          </w:rPr>
          <w:t>Vorsätzliche Tötung</w:t>
        </w:r>
      </w:hyperlink>
      <w:r w:rsidRPr="00E90FEF">
        <w:rPr>
          <w:rFonts w:ascii="Arial" w:eastAsia="Times New Roman" w:hAnsi="Arial" w:cs="Arial"/>
          <w:color w:val="252525"/>
          <w:sz w:val="21"/>
          <w:szCs w:val="21"/>
          <w:lang w:val="de-DE" w:eastAsia="es-ES"/>
        </w:rPr>
        <w:t> (Schweizer Recht), nicht über </w:t>
      </w:r>
      <w:hyperlink r:id="rId16" w:tooltip="Mord (Deutschland)" w:history="1">
        <w:r w:rsidRPr="00E90FEF">
          <w:rPr>
            <w:rFonts w:ascii="Arial" w:eastAsia="Times New Roman" w:hAnsi="Arial" w:cs="Arial"/>
            <w:color w:val="0B0080"/>
            <w:sz w:val="21"/>
            <w:lang w:val="de-DE" w:eastAsia="es-ES"/>
          </w:rPr>
          <w:t>Mord (Deutschland)</w:t>
        </w:r>
      </w:hyperlink>
      <w:r w:rsidRPr="00E90FEF">
        <w:rPr>
          <w:rFonts w:ascii="Arial" w:eastAsia="Times New Roman" w:hAnsi="Arial" w:cs="Arial"/>
          <w:color w:val="252525"/>
          <w:sz w:val="21"/>
          <w:szCs w:val="21"/>
          <w:lang w:val="de-DE" w:eastAsia="es-ES"/>
        </w:rPr>
        <w:t> bzw. </w:t>
      </w:r>
      <w:hyperlink r:id="rId17" w:tooltip="Mord (Schweiz)" w:history="1">
        <w:r w:rsidRPr="00E90FEF">
          <w:rPr>
            <w:rFonts w:ascii="Arial" w:eastAsia="Times New Roman" w:hAnsi="Arial" w:cs="Arial"/>
            <w:color w:val="0B0080"/>
            <w:sz w:val="21"/>
            <w:lang w:val="de-DE" w:eastAsia="es-ES"/>
          </w:rPr>
          <w:t>Mord (Schweiz)</w:t>
        </w:r>
      </w:hyperlink>
      <w:r w:rsidRPr="00E90FEF">
        <w:rPr>
          <w:rFonts w:ascii="Arial" w:eastAsia="Times New Roman" w:hAnsi="Arial" w:cs="Arial"/>
          <w:color w:val="252525"/>
          <w:sz w:val="21"/>
          <w:szCs w:val="21"/>
          <w:lang w:val="de-DE" w:eastAsia="es-ES"/>
        </w:rPr>
        <w:t>, zur Anwendung.</w:t>
      </w:r>
    </w:p>
    <w:p w:rsidR="00E90FEF" w:rsidRPr="00E90FEF" w:rsidRDefault="00E90FEF" w:rsidP="00E90FEF">
      <w:pPr>
        <w:shd w:val="clear" w:color="auto" w:fill="FFFFFF"/>
        <w:spacing w:after="240" w:line="269" w:lineRule="atLeast"/>
        <w:rPr>
          <w:rFonts w:ascii="Arial" w:eastAsia="Times New Roman" w:hAnsi="Arial" w:cs="Arial"/>
          <w:color w:val="666666"/>
          <w:sz w:val="20"/>
          <w:szCs w:val="20"/>
          <w:lang w:val="de-DE" w:eastAsia="es-ES"/>
        </w:rPr>
      </w:pPr>
      <w:r w:rsidRPr="00E90FEF">
        <w:rPr>
          <w:rFonts w:ascii="Arial" w:eastAsia="Times New Roman" w:hAnsi="Arial" w:cs="Arial"/>
          <w:b/>
          <w:bCs/>
          <w:color w:val="252525"/>
          <w:sz w:val="21"/>
          <w:szCs w:val="21"/>
          <w:lang w:val="de-DE" w:eastAsia="es-ES"/>
        </w:rPr>
        <w:t>Inter alia</w:t>
      </w:r>
      <w:r w:rsidRPr="00E90FEF">
        <w:rPr>
          <w:rFonts w:ascii="Arial" w:eastAsia="Times New Roman" w:hAnsi="Arial" w:cs="Arial"/>
          <w:b/>
          <w:bCs/>
          <w:color w:val="252525"/>
          <w:sz w:val="21"/>
          <w:lang w:val="de-DE" w:eastAsia="es-ES"/>
        </w:rPr>
        <w:t> </w:t>
      </w:r>
      <w:r w:rsidRPr="00E90FEF">
        <w:rPr>
          <w:rFonts w:ascii="Arial" w:eastAsia="Times New Roman" w:hAnsi="Arial" w:cs="Arial"/>
          <w:color w:val="252525"/>
          <w:sz w:val="21"/>
          <w:szCs w:val="21"/>
          <w:lang w:val="de-DE" w:eastAsia="es-ES"/>
        </w:rPr>
        <w:t>„Unter anderem“: Verweis auf weitere Gesetze, Gesetzgebungen oder Fälle bei Nennung der für einen Fall relevanten Fakten und Gesetze.</w:t>
      </w:r>
      <w:r w:rsidRPr="00E90FEF">
        <w:rPr>
          <w:rFonts w:ascii="Arial" w:eastAsia="Times New Roman" w:hAnsi="Arial" w:cs="Arial"/>
          <w:color w:val="252525"/>
          <w:sz w:val="21"/>
          <w:lang w:val="de-DE" w:eastAsia="es-ES"/>
        </w:rPr>
        <w:t> </w:t>
      </w:r>
      <w:r w:rsidRPr="00E90FEF">
        <w:rPr>
          <w:rFonts w:ascii="Arial" w:eastAsia="Times New Roman" w:hAnsi="Arial" w:cs="Arial"/>
          <w:color w:val="252525"/>
          <w:sz w:val="21"/>
          <w:szCs w:val="21"/>
          <w:lang w:val="de-DE" w:eastAsia="es-ES"/>
        </w:rPr>
        <w:t>Ein Beispiel aus verschiedenen Möglichkeiten.</w:t>
      </w:r>
    </w:p>
    <w:p w:rsidR="00E90FEF" w:rsidRPr="00E90FEF" w:rsidRDefault="00E90FEF" w:rsidP="00E90FEF">
      <w:pPr>
        <w:shd w:val="clear" w:color="auto" w:fill="FFFFFF"/>
        <w:spacing w:after="24" w:line="269" w:lineRule="atLeast"/>
        <w:rPr>
          <w:rFonts w:ascii="Arial" w:eastAsia="Times New Roman" w:hAnsi="Arial" w:cs="Arial"/>
          <w:color w:val="666666"/>
          <w:sz w:val="20"/>
          <w:szCs w:val="20"/>
          <w:lang w:val="de-DE" w:eastAsia="es-ES"/>
        </w:rPr>
      </w:pPr>
      <w:hyperlink r:id="rId18" w:tooltip="Ius cogens" w:history="1">
        <w:r w:rsidRPr="00E90FEF">
          <w:rPr>
            <w:rFonts w:ascii="Arial" w:eastAsia="Times New Roman" w:hAnsi="Arial" w:cs="Arial"/>
            <w:b/>
            <w:bCs/>
            <w:color w:val="0B0080"/>
            <w:sz w:val="21"/>
            <w:lang w:val="de-DE" w:eastAsia="es-ES"/>
          </w:rPr>
          <w:t>Ius cogens</w:t>
        </w:r>
      </w:hyperlink>
      <w:r w:rsidRPr="00E90FEF">
        <w:rPr>
          <w:rFonts w:ascii="Arial" w:eastAsia="Times New Roman" w:hAnsi="Arial" w:cs="Arial"/>
          <w:b/>
          <w:bCs/>
          <w:color w:val="252525"/>
          <w:sz w:val="21"/>
          <w:lang w:val="de-DE" w:eastAsia="es-ES"/>
        </w:rPr>
        <w:t> </w:t>
      </w:r>
      <w:r w:rsidRPr="00E90FEF">
        <w:rPr>
          <w:rFonts w:ascii="Arial" w:eastAsia="Times New Roman" w:hAnsi="Arial" w:cs="Arial"/>
          <w:color w:val="252525"/>
          <w:sz w:val="21"/>
          <w:szCs w:val="21"/>
          <w:lang w:val="de-DE" w:eastAsia="es-ES"/>
        </w:rPr>
        <w:t>„Zwingendes Recht“. Recht, welches nicht durch den eigenen Willen einer (im Staatsrecht) oder beider (im Privatrecht) Parteien abgeändert werden kann. Dies im Gegensatz zum </w:t>
      </w:r>
      <w:hyperlink r:id="rId19" w:tooltip="Ius dispositivum" w:history="1">
        <w:r w:rsidRPr="00E90FEF">
          <w:rPr>
            <w:rFonts w:ascii="Arial" w:eastAsia="Times New Roman" w:hAnsi="Arial" w:cs="Arial"/>
            <w:color w:val="0B0080"/>
            <w:sz w:val="21"/>
            <w:lang w:val="de-DE" w:eastAsia="es-ES"/>
          </w:rPr>
          <w:t>ius dispositivum</w:t>
        </w:r>
      </w:hyperlink>
      <w:r w:rsidRPr="00E90FEF">
        <w:rPr>
          <w:rFonts w:ascii="Arial" w:eastAsia="Times New Roman" w:hAnsi="Arial" w:cs="Arial"/>
          <w:color w:val="252525"/>
          <w:sz w:val="21"/>
          <w:szCs w:val="21"/>
          <w:lang w:val="de-DE" w:eastAsia="es-ES"/>
        </w:rPr>
        <w:t>.</w:t>
      </w:r>
    </w:p>
    <w:p w:rsidR="00E90FEF" w:rsidRPr="00E90FEF" w:rsidRDefault="00E90FEF" w:rsidP="00E90FEF">
      <w:pPr>
        <w:shd w:val="clear" w:color="auto" w:fill="FFFFFF"/>
        <w:spacing w:after="24" w:line="269" w:lineRule="atLeast"/>
        <w:rPr>
          <w:rFonts w:ascii="Arial" w:eastAsia="Times New Roman" w:hAnsi="Arial" w:cs="Arial"/>
          <w:color w:val="666666"/>
          <w:sz w:val="20"/>
          <w:szCs w:val="20"/>
          <w:lang w:val="de-DE" w:eastAsia="es-ES"/>
        </w:rPr>
      </w:pPr>
      <w:hyperlink r:id="rId20" w:tooltip="Lex posterior derogat legi priori" w:history="1">
        <w:r w:rsidRPr="00E90FEF">
          <w:rPr>
            <w:rFonts w:ascii="Arial" w:eastAsia="Times New Roman" w:hAnsi="Arial" w:cs="Arial"/>
            <w:b/>
            <w:bCs/>
            <w:color w:val="0B0080"/>
            <w:sz w:val="21"/>
            <w:lang w:val="de-DE" w:eastAsia="es-ES"/>
          </w:rPr>
          <w:t>Lex posterior derogat legi priori</w:t>
        </w:r>
      </w:hyperlink>
      <w:r w:rsidRPr="00E90FEF">
        <w:rPr>
          <w:rFonts w:ascii="Arial" w:eastAsia="Times New Roman" w:hAnsi="Arial" w:cs="Arial"/>
          <w:b/>
          <w:bCs/>
          <w:color w:val="252525"/>
          <w:sz w:val="21"/>
          <w:lang w:val="de-DE" w:eastAsia="es-ES"/>
        </w:rPr>
        <w:t> </w:t>
      </w:r>
      <w:r w:rsidRPr="00E90FEF">
        <w:rPr>
          <w:rFonts w:ascii="Arial" w:eastAsia="Times New Roman" w:hAnsi="Arial" w:cs="Arial"/>
          <w:color w:val="252525"/>
          <w:sz w:val="21"/>
          <w:szCs w:val="21"/>
          <w:lang w:val="de-DE" w:eastAsia="es-ES"/>
        </w:rPr>
        <w:t>„Jüngeres Recht bricht älteres Recht“: Widersprechen sich zwei Gesetze, wird das jüngere von beiden angewendet.</w:t>
      </w:r>
    </w:p>
    <w:p w:rsidR="00E90FEF" w:rsidRPr="00E90FEF" w:rsidRDefault="00E90FEF" w:rsidP="00E90FEF">
      <w:pPr>
        <w:shd w:val="clear" w:color="auto" w:fill="FFFFFF"/>
        <w:spacing w:after="24" w:line="269" w:lineRule="atLeast"/>
        <w:rPr>
          <w:rFonts w:ascii="Arial" w:eastAsia="Times New Roman" w:hAnsi="Arial" w:cs="Arial"/>
          <w:color w:val="666666"/>
          <w:sz w:val="20"/>
          <w:szCs w:val="20"/>
          <w:lang w:val="de-DE" w:eastAsia="es-ES"/>
        </w:rPr>
      </w:pPr>
      <w:hyperlink r:id="rId21" w:tooltip="Lex specialis derogat legi generali" w:history="1">
        <w:r w:rsidRPr="00E90FEF">
          <w:rPr>
            <w:rFonts w:ascii="Arial" w:eastAsia="Times New Roman" w:hAnsi="Arial" w:cs="Arial"/>
            <w:b/>
            <w:bCs/>
            <w:color w:val="0B0080"/>
            <w:sz w:val="21"/>
            <w:lang w:val="de-DE" w:eastAsia="es-ES"/>
          </w:rPr>
          <w:t>Lex specialis derogat legi generali</w:t>
        </w:r>
      </w:hyperlink>
      <w:r w:rsidRPr="00E90FEF">
        <w:rPr>
          <w:rFonts w:ascii="Arial" w:eastAsia="Times New Roman" w:hAnsi="Arial" w:cs="Arial"/>
          <w:b/>
          <w:bCs/>
          <w:color w:val="252525"/>
          <w:sz w:val="21"/>
          <w:lang w:val="de-DE" w:eastAsia="es-ES"/>
        </w:rPr>
        <w:t> </w:t>
      </w:r>
      <w:r w:rsidRPr="00E90FEF">
        <w:rPr>
          <w:rFonts w:ascii="Arial" w:eastAsia="Times New Roman" w:hAnsi="Arial" w:cs="Arial"/>
          <w:color w:val="252525"/>
          <w:sz w:val="21"/>
          <w:szCs w:val="21"/>
          <w:lang w:val="de-DE" w:eastAsia="es-ES"/>
        </w:rPr>
        <w:t>„Das besondere Gesetz verdrängt das allgemeine“: </w:t>
      </w:r>
    </w:p>
    <w:p w:rsidR="0079062D" w:rsidRPr="00E90FEF" w:rsidRDefault="0079062D">
      <w:pPr>
        <w:rPr>
          <w:lang w:val="de-DE"/>
        </w:rPr>
      </w:pPr>
    </w:p>
    <w:sectPr w:rsidR="0079062D" w:rsidRPr="00E90FEF" w:rsidSect="00E90FEF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0FEF"/>
    <w:rsid w:val="0079062D"/>
    <w:rsid w:val="00E90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62D"/>
  </w:style>
  <w:style w:type="paragraph" w:styleId="Ttulo3">
    <w:name w:val="heading 3"/>
    <w:basedOn w:val="Normal"/>
    <w:link w:val="Ttulo3Car"/>
    <w:uiPriority w:val="9"/>
    <w:qFormat/>
    <w:rsid w:val="00E90F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E90FEF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E90FEF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E90F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4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4013">
              <w:marLeft w:val="384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0248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04101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4297">
              <w:marLeft w:val="72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1411">
              <w:marLeft w:val="384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65276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88149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5242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035363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10074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7225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0900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55684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38968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72197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2518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75753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wikipedia.org/wiki/Argumentum_a_maiori_ad_minus" TargetMode="External"/><Relationship Id="rId13" Type="http://schemas.openxmlformats.org/officeDocument/2006/relationships/hyperlink" Target="http://de.wikipedia.org/wiki/T%C3%B6tungsdelikt" TargetMode="External"/><Relationship Id="rId18" Type="http://schemas.openxmlformats.org/officeDocument/2006/relationships/hyperlink" Target="http://de.wikipedia.org/wiki/Ius_cogen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e.wikipedia.org/wiki/Lex_specialis_derogat_legi_generali" TargetMode="External"/><Relationship Id="rId7" Type="http://schemas.openxmlformats.org/officeDocument/2006/relationships/hyperlink" Target="http://de.wikipedia.org/wiki/Argumentum_a_fortiori" TargetMode="External"/><Relationship Id="rId12" Type="http://schemas.openxmlformats.org/officeDocument/2006/relationships/hyperlink" Target="http://de.wikipedia.org/wiki/In_dubio_mitius" TargetMode="External"/><Relationship Id="rId17" Type="http://schemas.openxmlformats.org/officeDocument/2006/relationships/hyperlink" Target="http://de.wikipedia.org/wiki/Mord_(Schweiz)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e.wikipedia.org/wiki/Mord_(Deutschland)" TargetMode="External"/><Relationship Id="rId20" Type="http://schemas.openxmlformats.org/officeDocument/2006/relationships/hyperlink" Target="http://de.wikipedia.org/wiki/Lex_posterior_derogat_legi_priori" TargetMode="External"/><Relationship Id="rId1" Type="http://schemas.openxmlformats.org/officeDocument/2006/relationships/styles" Target="styles.xml"/><Relationship Id="rId6" Type="http://schemas.openxmlformats.org/officeDocument/2006/relationships/hyperlink" Target="http://de.wikipedia.org/wiki/Animus_auctoris" TargetMode="External"/><Relationship Id="rId11" Type="http://schemas.openxmlformats.org/officeDocument/2006/relationships/hyperlink" Target="http://de.wikipedia.org/wiki/Coram_publico" TargetMode="External"/><Relationship Id="rId5" Type="http://schemas.openxmlformats.org/officeDocument/2006/relationships/hyperlink" Target="http://de.wikipedia.org/wiki/Amicus_curiae" TargetMode="External"/><Relationship Id="rId15" Type="http://schemas.openxmlformats.org/officeDocument/2006/relationships/hyperlink" Target="http://de.wikipedia.org/wiki/Vors%C3%A4tzliche_T%C3%B6tung_(Schweiz)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e.wikipedia.org/wiki/Certiorari" TargetMode="External"/><Relationship Id="rId19" Type="http://schemas.openxmlformats.org/officeDocument/2006/relationships/hyperlink" Target="http://de.wikipedia.org/wiki/Ius_dispositivum" TargetMode="External"/><Relationship Id="rId4" Type="http://schemas.openxmlformats.org/officeDocument/2006/relationships/hyperlink" Target="http://de.wikipedia.org/wiki/Vertrag_mit_Schutzwirkung_zugunsten_Dritter" TargetMode="External"/><Relationship Id="rId9" Type="http://schemas.openxmlformats.org/officeDocument/2006/relationships/hyperlink" Target="http://de.wikipedia.org/wiki/Argumentum_a_minori_ad_maius" TargetMode="External"/><Relationship Id="rId14" Type="http://schemas.openxmlformats.org/officeDocument/2006/relationships/hyperlink" Target="http://de.wikipedia.org/wiki/Totschlag_(Deutschland)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760</Words>
  <Characters>4181</Characters>
  <Application>Microsoft Office Word</Application>
  <DocSecurity>0</DocSecurity>
  <Lines>34</Lines>
  <Paragraphs>9</Paragraphs>
  <ScaleCrop>false</ScaleCrop>
  <Company/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2015-03-07T13:39:00Z</dcterms:created>
  <dcterms:modified xsi:type="dcterms:W3CDTF">2015-03-07T13:41:00Z</dcterms:modified>
</cp:coreProperties>
</file>