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B80" w:rsidRPr="00BD0B80" w:rsidRDefault="00BD0B80" w:rsidP="00BD0B80">
      <w:pPr>
        <w:spacing w:after="0" w:line="240" w:lineRule="auto"/>
        <w:outlineLvl w:val="2"/>
        <w:rPr>
          <w:rFonts w:ascii="Times" w:eastAsia="Times New Roman" w:hAnsi="Times" w:cs="Times"/>
          <w:color w:val="2198A6"/>
          <w:sz w:val="36"/>
          <w:szCs w:val="36"/>
          <w:lang w:eastAsia="es-ES"/>
        </w:rPr>
      </w:pPr>
      <w:proofErr w:type="gramStart"/>
      <w:r w:rsidRPr="00BD0B80">
        <w:rPr>
          <w:rFonts w:ascii="Times" w:eastAsia="Times New Roman" w:hAnsi="Times" w:cs="Times"/>
          <w:color w:val="2198A6"/>
          <w:sz w:val="36"/>
          <w:szCs w:val="36"/>
          <w:lang w:eastAsia="es-ES"/>
        </w:rPr>
        <w:t>lectura</w:t>
      </w:r>
      <w:proofErr w:type="gramEnd"/>
      <w:r w:rsidRPr="00BD0B80">
        <w:rPr>
          <w:rFonts w:ascii="Times" w:eastAsia="Times New Roman" w:hAnsi="Times" w:cs="Times"/>
          <w:color w:val="2198A6"/>
          <w:sz w:val="36"/>
          <w:szCs w:val="36"/>
          <w:lang w:eastAsia="es-ES"/>
        </w:rPr>
        <w:t xml:space="preserve"> 2 - alemán jurídico y </w:t>
      </w:r>
      <w:proofErr w:type="spellStart"/>
      <w:r w:rsidRPr="00BD0B80">
        <w:rPr>
          <w:rFonts w:ascii="Times" w:eastAsia="Times New Roman" w:hAnsi="Times" w:cs="Times"/>
          <w:color w:val="2198A6"/>
          <w:sz w:val="36"/>
          <w:szCs w:val="36"/>
          <w:lang w:eastAsia="es-ES"/>
        </w:rPr>
        <w:t>Latein</w:t>
      </w:r>
      <w:proofErr w:type="spellEnd"/>
    </w:p>
    <w:p w:rsidR="00BD0B80" w:rsidRPr="00BD0B80" w:rsidRDefault="00BD0B80" w:rsidP="00BD0B80">
      <w:pPr>
        <w:spacing w:after="0" w:line="273" w:lineRule="atLeast"/>
        <w:rPr>
          <w:rFonts w:ascii="Arial" w:eastAsia="Times New Roman" w:hAnsi="Arial" w:cs="Arial"/>
          <w:color w:val="666666"/>
          <w:sz w:val="20"/>
          <w:szCs w:val="20"/>
          <w:lang w:eastAsia="es-ES"/>
        </w:rPr>
      </w:pPr>
    </w:p>
    <w:p w:rsidR="00BD0B80" w:rsidRPr="00BD0B80" w:rsidRDefault="00BD0B80" w:rsidP="00BD0B80">
      <w:pPr>
        <w:spacing w:after="0" w:line="273" w:lineRule="atLeast"/>
        <w:rPr>
          <w:rFonts w:ascii="Arial" w:eastAsia="Times New Roman" w:hAnsi="Arial" w:cs="Arial"/>
          <w:color w:val="666666"/>
          <w:sz w:val="20"/>
          <w:szCs w:val="20"/>
          <w:lang w:eastAsia="es-ES"/>
        </w:rPr>
      </w:pPr>
      <w:proofErr w:type="spellStart"/>
      <w:r w:rsidRPr="00BD0B80">
        <w:rPr>
          <w:rFonts w:ascii="Arial" w:eastAsia="Times New Roman" w:hAnsi="Arial" w:cs="Arial"/>
          <w:color w:val="666666"/>
          <w:sz w:val="20"/>
          <w:szCs w:val="20"/>
          <w:lang w:eastAsia="es-ES"/>
        </w:rPr>
        <w:t>Juristenlatein</w:t>
      </w:r>
      <w:proofErr w:type="spellEnd"/>
      <w:r w:rsidRPr="00BD0B80">
        <w:rPr>
          <w:rFonts w:ascii="Arial" w:eastAsia="Times New Roman" w:hAnsi="Arial" w:cs="Arial"/>
          <w:color w:val="666666"/>
          <w:sz w:val="20"/>
          <w:szCs w:val="20"/>
          <w:lang w:eastAsia="es-ES"/>
        </w:rPr>
        <w:t>  Latín jurídico - Ejemplos internet</w:t>
      </w:r>
      <w:r w:rsidRPr="00BD0B80">
        <w:rPr>
          <w:rFonts w:ascii="Arial" w:eastAsia="Times New Roman" w:hAnsi="Arial" w:cs="Arial"/>
          <w:color w:val="666666"/>
          <w:sz w:val="20"/>
          <w:lang w:eastAsia="es-ES"/>
        </w:rPr>
        <w:t> </w:t>
      </w:r>
      <w:hyperlink r:id="rId4" w:history="1">
        <w:r w:rsidRPr="00BD0B80">
          <w:rPr>
            <w:rFonts w:ascii="Arial" w:eastAsia="Times New Roman" w:hAnsi="Arial" w:cs="Arial"/>
            <w:color w:val="4D469C"/>
            <w:sz w:val="20"/>
            <w:lang w:eastAsia="es-ES"/>
          </w:rPr>
          <w:t>http://www.juristischer-gedankensalat.de/juristen-latein</w:t>
        </w:r>
      </w:hyperlink>
    </w:p>
    <w:p w:rsidR="00BD0B80" w:rsidRPr="00BD0B80" w:rsidRDefault="00BD0B80" w:rsidP="00BD0B80">
      <w:pPr>
        <w:spacing w:after="0" w:line="273" w:lineRule="atLeast"/>
        <w:rPr>
          <w:rFonts w:ascii="Arial" w:eastAsia="Times New Roman" w:hAnsi="Arial" w:cs="Arial"/>
          <w:color w:val="666666"/>
          <w:sz w:val="20"/>
          <w:szCs w:val="20"/>
          <w:lang w:eastAsia="es-ES"/>
        </w:rPr>
      </w:pPr>
    </w:p>
    <w:p w:rsidR="00BD0B80" w:rsidRPr="00BD0B80" w:rsidRDefault="00BD0B80" w:rsidP="00BD0B80">
      <w:pPr>
        <w:spacing w:after="240" w:line="273" w:lineRule="atLeast"/>
        <w:rPr>
          <w:rFonts w:ascii="Arial" w:eastAsia="Times New Roman" w:hAnsi="Arial" w:cs="Arial"/>
          <w:color w:val="666666"/>
          <w:sz w:val="20"/>
          <w:szCs w:val="20"/>
          <w:lang w:val="de-DE" w:eastAsia="es-ES"/>
        </w:rPr>
      </w:pPr>
      <w:r w:rsidRPr="00BD0B80">
        <w:rPr>
          <w:rFonts w:ascii="Helvetica" w:eastAsia="Times New Roman" w:hAnsi="Helvetica" w:cs="Helvetica"/>
          <w:b/>
          <w:bCs/>
          <w:color w:val="51555C"/>
          <w:sz w:val="18"/>
          <w:lang w:val="de-DE" w:eastAsia="es-ES"/>
        </w:rPr>
        <w:t>animus rem sibi habendi</w:t>
      </w:r>
      <w:r w:rsidRPr="00BD0B80">
        <w:rPr>
          <w:rFonts w:ascii="Helvetica" w:eastAsia="Times New Roman" w:hAnsi="Helvetica" w:cs="Helvetica"/>
          <w:color w:val="51555C"/>
          <w:sz w:val="18"/>
          <w:lang w:val="de-DE" w:eastAsia="es-ES"/>
        </w:rPr>
        <w:t> </w:t>
      </w:r>
      <w:r w:rsidRPr="00BD0B80">
        <w:rPr>
          <w:rFonts w:ascii="Helvetica" w:eastAsia="Times New Roman" w:hAnsi="Helvetica" w:cs="Helvetica"/>
          <w:color w:val="51555C"/>
          <w:sz w:val="18"/>
          <w:szCs w:val="18"/>
          <w:shd w:val="clear" w:color="auto" w:fill="FFFFFF"/>
          <w:lang w:val="de-DE" w:eastAsia="es-ES"/>
        </w:rPr>
        <w:t>– Zueignungsabsicht</w:t>
      </w:r>
      <w:r w:rsidRPr="00BD0B80">
        <w:rPr>
          <w:rFonts w:ascii="Helvetica" w:eastAsia="Times New Roman" w:hAnsi="Helvetica" w:cs="Helvetica"/>
          <w:color w:val="51555C"/>
          <w:sz w:val="18"/>
          <w:lang w:val="de-DE" w:eastAsia="es-ES"/>
        </w:rPr>
        <w:t> </w:t>
      </w:r>
      <w:r w:rsidRPr="00BD0B80">
        <w:rPr>
          <w:rFonts w:ascii="Arial" w:eastAsia="Times New Roman" w:hAnsi="Arial" w:cs="Arial"/>
          <w:color w:val="666666"/>
          <w:sz w:val="20"/>
          <w:szCs w:val="20"/>
          <w:lang w:eastAsia="es-ES"/>
        </w:rPr>
        <w:fldChar w:fldCharType="begin"/>
      </w:r>
      <w:r w:rsidRPr="00BD0B80">
        <w:rPr>
          <w:rFonts w:ascii="Arial" w:eastAsia="Times New Roman" w:hAnsi="Arial" w:cs="Arial"/>
          <w:color w:val="666666"/>
          <w:sz w:val="20"/>
          <w:szCs w:val="20"/>
          <w:lang w:val="de-DE" w:eastAsia="es-ES"/>
        </w:rPr>
        <w:instrText xml:space="preserve"> HYPERLINK "http://dejure.org/gesetze/StGB/242.html" </w:instrText>
      </w:r>
      <w:r w:rsidRPr="00BD0B80">
        <w:rPr>
          <w:rFonts w:ascii="Arial" w:eastAsia="Times New Roman" w:hAnsi="Arial" w:cs="Arial"/>
          <w:color w:val="666666"/>
          <w:sz w:val="20"/>
          <w:szCs w:val="20"/>
          <w:lang w:eastAsia="es-ES"/>
        </w:rPr>
        <w:fldChar w:fldCharType="separate"/>
      </w:r>
      <w:r w:rsidRPr="00BD0B80">
        <w:rPr>
          <w:rFonts w:ascii="Helvetica" w:eastAsia="Times New Roman" w:hAnsi="Helvetica" w:cs="Helvetica"/>
          <w:color w:val="F07408"/>
          <w:sz w:val="18"/>
          <w:lang w:val="de-DE" w:eastAsia="es-ES"/>
        </w:rPr>
        <w:t>§ 242  StGB</w:t>
      </w:r>
      <w:r w:rsidRPr="00BD0B80">
        <w:rPr>
          <w:rFonts w:ascii="Arial" w:eastAsia="Times New Roman" w:hAnsi="Arial" w:cs="Arial"/>
          <w:color w:val="666666"/>
          <w:sz w:val="20"/>
          <w:szCs w:val="20"/>
          <w:lang w:eastAsia="es-ES"/>
        </w:rPr>
        <w:fldChar w:fldCharType="end"/>
      </w:r>
      <w:r w:rsidRPr="00BD0B80">
        <w:rPr>
          <w:rFonts w:ascii="Arial" w:eastAsia="Times New Roman" w:hAnsi="Arial" w:cs="Arial"/>
          <w:color w:val="666666"/>
          <w:sz w:val="20"/>
          <w:lang w:val="de-DE" w:eastAsia="es-ES"/>
        </w:rPr>
        <w:t> </w:t>
      </w:r>
      <w:r w:rsidRPr="00BD0B80">
        <w:rPr>
          <w:rFonts w:ascii="Arial" w:eastAsia="Times New Roman" w:hAnsi="Arial" w:cs="Arial"/>
          <w:color w:val="666666"/>
          <w:sz w:val="20"/>
          <w:szCs w:val="20"/>
          <w:lang w:val="de-DE" w:eastAsia="es-ES"/>
        </w:rPr>
        <w:t>-</w:t>
      </w:r>
      <w:r w:rsidRPr="00BD0B80">
        <w:rPr>
          <w:rFonts w:ascii="Arial" w:eastAsia="Times New Roman" w:hAnsi="Arial" w:cs="Arial"/>
          <w:color w:val="666666"/>
          <w:sz w:val="20"/>
          <w:lang w:val="de-DE" w:eastAsia="es-ES"/>
        </w:rPr>
        <w:t> </w:t>
      </w:r>
      <w:r w:rsidRPr="00BD0B80">
        <w:rPr>
          <w:rFonts w:ascii="Arial" w:eastAsia="Times New Roman" w:hAnsi="Arial" w:cs="Arial"/>
          <w:b/>
          <w:bCs/>
          <w:color w:val="666666"/>
          <w:sz w:val="20"/>
          <w:szCs w:val="20"/>
          <w:lang w:val="de-DE" w:eastAsia="es-ES"/>
        </w:rPr>
        <w:t> der Diebstahl – el hurto -</w:t>
      </w:r>
      <w:r w:rsidRPr="00BD0B80">
        <w:rPr>
          <w:rFonts w:ascii="Arial" w:eastAsia="Times New Roman" w:hAnsi="Arial" w:cs="Arial"/>
          <w:b/>
          <w:bCs/>
          <w:color w:val="666666"/>
          <w:sz w:val="20"/>
          <w:lang w:val="de-DE" w:eastAsia="es-ES"/>
        </w:rPr>
        <w:t> </w:t>
      </w:r>
      <w:r w:rsidRPr="00BD0B80">
        <w:rPr>
          <w:rFonts w:ascii="Helvetica" w:eastAsia="Times New Roman" w:hAnsi="Helvetica" w:cs="Helvetica"/>
          <w:b/>
          <w:bCs/>
          <w:color w:val="51555C"/>
          <w:sz w:val="18"/>
          <w:lang w:val="de-DE" w:eastAsia="es-ES"/>
        </w:rPr>
        <w:t>se ut dominum gerere</w:t>
      </w:r>
      <w:r w:rsidRPr="00BD0B80">
        <w:rPr>
          <w:rFonts w:ascii="Helvetica" w:eastAsia="Times New Roman" w:hAnsi="Helvetica" w:cs="Helvetica"/>
          <w:color w:val="51555C"/>
          <w:sz w:val="18"/>
          <w:lang w:val="de-DE" w:eastAsia="es-ES"/>
        </w:rPr>
        <w:t> </w:t>
      </w:r>
      <w:r w:rsidRPr="00BD0B80">
        <w:rPr>
          <w:rFonts w:ascii="Helvetica" w:eastAsia="Times New Roman" w:hAnsi="Helvetica" w:cs="Helvetica"/>
          <w:color w:val="51555C"/>
          <w:sz w:val="18"/>
          <w:szCs w:val="18"/>
          <w:shd w:val="clear" w:color="auto" w:fill="FFFFFF"/>
          <w:lang w:val="de-DE" w:eastAsia="es-ES"/>
        </w:rPr>
        <w:t>– sich wie ein Eigentümer aufführen,sog. Zueignungsabsicht. Meint eine Sache entwenden um sie dann so zu nutzen wie der Eigentümer. –</w:t>
      </w:r>
      <w:r w:rsidRPr="00BD0B80">
        <w:rPr>
          <w:rFonts w:ascii="Helvetica" w:eastAsia="Times New Roman" w:hAnsi="Helvetica" w:cs="Helvetica"/>
          <w:color w:val="51555C"/>
          <w:sz w:val="18"/>
          <w:lang w:val="de-DE" w:eastAsia="es-ES"/>
        </w:rPr>
        <w:t> </w:t>
      </w:r>
      <w:r w:rsidRPr="00BD0B80">
        <w:rPr>
          <w:rFonts w:ascii="Helvetica" w:eastAsia="Times New Roman" w:hAnsi="Helvetica" w:cs="Helvetica"/>
          <w:color w:val="51555C"/>
          <w:sz w:val="20"/>
          <w:szCs w:val="20"/>
          <w:shd w:val="clear" w:color="auto" w:fill="FFFFFF"/>
          <w:lang w:val="de-DE" w:eastAsia="es-ES"/>
        </w:rPr>
        <w:t>Ánimo de apropiación como dueño.</w:t>
      </w:r>
    </w:p>
    <w:p w:rsidR="00BD0B80" w:rsidRPr="00BD0B80" w:rsidRDefault="00BD0B80" w:rsidP="00BD0B80">
      <w:pPr>
        <w:spacing w:after="0" w:line="273" w:lineRule="atLeast"/>
        <w:rPr>
          <w:rFonts w:ascii="Arial" w:eastAsia="Times New Roman" w:hAnsi="Arial" w:cs="Arial"/>
          <w:color w:val="666666"/>
          <w:sz w:val="20"/>
          <w:szCs w:val="20"/>
          <w:lang w:eastAsia="es-ES"/>
        </w:rPr>
      </w:pPr>
      <w:proofErr w:type="spellStart"/>
      <w:proofErr w:type="gramStart"/>
      <w:r w:rsidRPr="00BD0B80">
        <w:rPr>
          <w:rFonts w:ascii="Arial" w:eastAsia="Times New Roman" w:hAnsi="Arial" w:cs="Arial"/>
          <w:b/>
          <w:bCs/>
          <w:color w:val="666666"/>
          <w:sz w:val="20"/>
          <w:szCs w:val="20"/>
          <w:lang w:eastAsia="es-ES"/>
        </w:rPr>
        <w:t>der</w:t>
      </w:r>
      <w:proofErr w:type="spellEnd"/>
      <w:proofErr w:type="gramEnd"/>
      <w:r w:rsidRPr="00BD0B80">
        <w:rPr>
          <w:rFonts w:ascii="Arial" w:eastAsia="Times New Roman" w:hAnsi="Arial" w:cs="Arial"/>
          <w:b/>
          <w:bCs/>
          <w:color w:val="666666"/>
          <w:sz w:val="20"/>
          <w:szCs w:val="20"/>
          <w:lang w:eastAsia="es-ES"/>
        </w:rPr>
        <w:t xml:space="preserve"> </w:t>
      </w:r>
      <w:proofErr w:type="spellStart"/>
      <w:r w:rsidRPr="00BD0B80">
        <w:rPr>
          <w:rFonts w:ascii="Arial" w:eastAsia="Times New Roman" w:hAnsi="Arial" w:cs="Arial"/>
          <w:b/>
          <w:bCs/>
          <w:color w:val="666666"/>
          <w:sz w:val="20"/>
          <w:szCs w:val="20"/>
          <w:lang w:eastAsia="es-ES"/>
        </w:rPr>
        <w:t>schwere</w:t>
      </w:r>
      <w:proofErr w:type="spellEnd"/>
      <w:r w:rsidRPr="00BD0B80">
        <w:rPr>
          <w:rFonts w:ascii="Arial" w:eastAsia="Times New Roman" w:hAnsi="Arial" w:cs="Arial"/>
          <w:b/>
          <w:bCs/>
          <w:color w:val="666666"/>
          <w:sz w:val="20"/>
          <w:szCs w:val="20"/>
          <w:lang w:eastAsia="es-ES"/>
        </w:rPr>
        <w:t xml:space="preserve"> </w:t>
      </w:r>
      <w:proofErr w:type="spellStart"/>
      <w:r w:rsidRPr="00BD0B80">
        <w:rPr>
          <w:rFonts w:ascii="Arial" w:eastAsia="Times New Roman" w:hAnsi="Arial" w:cs="Arial"/>
          <w:b/>
          <w:bCs/>
          <w:color w:val="666666"/>
          <w:sz w:val="20"/>
          <w:szCs w:val="20"/>
          <w:lang w:eastAsia="es-ES"/>
        </w:rPr>
        <w:t>Diebstahl</w:t>
      </w:r>
      <w:proofErr w:type="spellEnd"/>
      <w:r w:rsidRPr="00BD0B80">
        <w:rPr>
          <w:rFonts w:ascii="Arial" w:eastAsia="Times New Roman" w:hAnsi="Arial" w:cs="Arial"/>
          <w:b/>
          <w:bCs/>
          <w:color w:val="666666"/>
          <w:sz w:val="20"/>
          <w:szCs w:val="20"/>
          <w:lang w:eastAsia="es-ES"/>
        </w:rPr>
        <w:t> </w:t>
      </w:r>
      <w:r w:rsidRPr="00BD0B80">
        <w:rPr>
          <w:rFonts w:ascii="Arial" w:eastAsia="Times New Roman" w:hAnsi="Arial" w:cs="Arial"/>
          <w:b/>
          <w:bCs/>
          <w:color w:val="666666"/>
          <w:sz w:val="20"/>
          <w:lang w:eastAsia="es-ES"/>
        </w:rPr>
        <w:t> </w:t>
      </w:r>
      <w:proofErr w:type="spellStart"/>
      <w:r w:rsidRPr="00BD0B80">
        <w:rPr>
          <w:rFonts w:ascii="Arial" w:eastAsia="Times New Roman" w:hAnsi="Arial" w:cs="Arial"/>
          <w:color w:val="FF0000"/>
          <w:sz w:val="20"/>
          <w:szCs w:val="20"/>
          <w:lang w:eastAsia="es-ES"/>
        </w:rPr>
        <w:t>StGB</w:t>
      </w:r>
      <w:proofErr w:type="spellEnd"/>
      <w:r w:rsidRPr="00BD0B80">
        <w:rPr>
          <w:rFonts w:ascii="Arial" w:eastAsia="Times New Roman" w:hAnsi="Arial" w:cs="Arial"/>
          <w:color w:val="FF0000"/>
          <w:sz w:val="20"/>
          <w:szCs w:val="20"/>
          <w:lang w:eastAsia="es-ES"/>
        </w:rPr>
        <w:t>  243  -</w:t>
      </w:r>
      <w:r w:rsidRPr="00BD0B80">
        <w:rPr>
          <w:rFonts w:ascii="Arial" w:eastAsia="Times New Roman" w:hAnsi="Arial" w:cs="Arial"/>
          <w:color w:val="FF0000"/>
          <w:sz w:val="20"/>
          <w:lang w:eastAsia="es-ES"/>
        </w:rPr>
        <w:t> </w:t>
      </w:r>
      <w:r w:rsidRPr="00BD0B80">
        <w:rPr>
          <w:rFonts w:ascii="Arial" w:eastAsia="Times New Roman" w:hAnsi="Arial" w:cs="Arial"/>
          <w:b/>
          <w:bCs/>
          <w:color w:val="FF0000"/>
          <w:sz w:val="20"/>
          <w:szCs w:val="20"/>
          <w:lang w:eastAsia="es-ES"/>
        </w:rPr>
        <w:t> </w:t>
      </w:r>
      <w:r w:rsidRPr="00BD0B80">
        <w:rPr>
          <w:rFonts w:ascii="Arial" w:eastAsia="Times New Roman" w:hAnsi="Arial" w:cs="Arial"/>
          <w:b/>
          <w:bCs/>
          <w:color w:val="666666"/>
          <w:sz w:val="20"/>
          <w:szCs w:val="20"/>
          <w:lang w:eastAsia="es-ES"/>
        </w:rPr>
        <w:t>el hurto grave o calificado o agravado</w:t>
      </w:r>
    </w:p>
    <w:p w:rsidR="00BD0B80" w:rsidRPr="00BD0B80" w:rsidRDefault="00BD0B80" w:rsidP="00BD0B80">
      <w:pPr>
        <w:spacing w:after="0" w:line="273" w:lineRule="atLeast"/>
        <w:rPr>
          <w:rFonts w:ascii="Arial" w:eastAsia="Times New Roman" w:hAnsi="Arial" w:cs="Arial"/>
          <w:color w:val="666666"/>
          <w:sz w:val="20"/>
          <w:szCs w:val="20"/>
          <w:lang w:val="de-DE" w:eastAsia="es-ES"/>
        </w:rPr>
      </w:pPr>
      <w:r w:rsidRPr="00BD0B80">
        <w:rPr>
          <w:rFonts w:ascii="Arial" w:eastAsia="Times New Roman" w:hAnsi="Arial" w:cs="Arial"/>
          <w:color w:val="FF0000"/>
          <w:sz w:val="20"/>
          <w:szCs w:val="20"/>
          <w:lang w:val="de-DE" w:eastAsia="es-ES"/>
        </w:rPr>
        <w:t>§ 242 StGB :</w:t>
      </w:r>
      <w:r w:rsidRPr="00BD0B80">
        <w:rPr>
          <w:rFonts w:ascii="Arial" w:eastAsia="Times New Roman" w:hAnsi="Arial" w:cs="Arial"/>
          <w:color w:val="FF0000"/>
          <w:sz w:val="20"/>
          <w:lang w:val="de-DE" w:eastAsia="es-ES"/>
        </w:rPr>
        <w:t> </w:t>
      </w:r>
      <w:r w:rsidRPr="00BD0B80">
        <w:rPr>
          <w:rFonts w:ascii="Arial" w:eastAsia="Times New Roman" w:hAnsi="Arial" w:cs="Arial"/>
          <w:color w:val="666666"/>
          <w:sz w:val="20"/>
          <w:szCs w:val="20"/>
          <w:lang w:val="de-DE" w:eastAsia="es-ES"/>
        </w:rPr>
        <w:t> (1) Wer eine fremde bewegliche Sache einem Anderen in der Absicht wegnimmt,</w:t>
      </w:r>
    </w:p>
    <w:p w:rsidR="00BD0B80" w:rsidRPr="00BD0B80" w:rsidRDefault="00BD0B80" w:rsidP="00BD0B80">
      <w:pPr>
        <w:spacing w:after="0" w:line="273" w:lineRule="atLeast"/>
        <w:rPr>
          <w:rFonts w:ascii="Arial" w:eastAsia="Times New Roman" w:hAnsi="Arial" w:cs="Arial"/>
          <w:color w:val="666666"/>
          <w:sz w:val="20"/>
          <w:szCs w:val="20"/>
          <w:lang w:val="de-DE" w:eastAsia="es-ES"/>
        </w:rPr>
      </w:pPr>
      <w:r w:rsidRPr="00BD0B80">
        <w:rPr>
          <w:rFonts w:ascii="Arial" w:eastAsia="Times New Roman" w:hAnsi="Arial" w:cs="Arial"/>
          <w:color w:val="666666"/>
          <w:sz w:val="20"/>
          <w:szCs w:val="20"/>
          <w:lang w:val="de-DE" w:eastAsia="es-ES"/>
        </w:rPr>
        <w:t>dieselbe sich rechtswidrig zuzueignen, wird mit Freiheitsstrafe bis zu fünf Jahren oder mit Geldstrafe</w:t>
      </w:r>
    </w:p>
    <w:p w:rsidR="00BD0B80" w:rsidRPr="00BD0B80" w:rsidRDefault="00BD0B80" w:rsidP="00BD0B80">
      <w:pPr>
        <w:spacing w:after="240" w:line="273" w:lineRule="atLeast"/>
        <w:rPr>
          <w:rFonts w:ascii="Arial" w:eastAsia="Times New Roman" w:hAnsi="Arial" w:cs="Arial"/>
          <w:color w:val="666666"/>
          <w:sz w:val="20"/>
          <w:szCs w:val="20"/>
          <w:lang w:val="de-DE" w:eastAsia="es-ES"/>
        </w:rPr>
      </w:pPr>
      <w:r w:rsidRPr="00BD0B80">
        <w:rPr>
          <w:rFonts w:ascii="Arial" w:eastAsia="Times New Roman" w:hAnsi="Arial" w:cs="Arial"/>
          <w:color w:val="666666"/>
          <w:sz w:val="20"/>
          <w:szCs w:val="20"/>
          <w:lang w:val="de-DE" w:eastAsia="es-ES"/>
        </w:rPr>
        <w:t>bestraft.   (2) Der Versuch ist strafbar.</w:t>
      </w:r>
    </w:p>
    <w:p w:rsidR="00BD0B80" w:rsidRPr="00BD0B80" w:rsidRDefault="00BD0B80" w:rsidP="00BD0B80">
      <w:pPr>
        <w:spacing w:after="240" w:line="273" w:lineRule="atLeast"/>
        <w:rPr>
          <w:rFonts w:ascii="Arial" w:eastAsia="Times New Roman" w:hAnsi="Arial" w:cs="Arial"/>
          <w:color w:val="666666"/>
          <w:sz w:val="20"/>
          <w:szCs w:val="20"/>
          <w:lang w:val="de-DE" w:eastAsia="es-ES"/>
        </w:rPr>
      </w:pPr>
      <w:r w:rsidRPr="00BD0B80">
        <w:rPr>
          <w:rFonts w:ascii="Arial" w:eastAsia="Times New Roman" w:hAnsi="Arial" w:cs="Arial"/>
          <w:color w:val="666666"/>
          <w:sz w:val="20"/>
          <w:szCs w:val="20"/>
          <w:lang w:val="de-DE" w:eastAsia="es-ES"/>
        </w:rPr>
        <w:t>der Raub </w:t>
      </w:r>
      <w:r w:rsidRPr="00BD0B80">
        <w:rPr>
          <w:rFonts w:ascii="Arial" w:eastAsia="Times New Roman" w:hAnsi="Arial" w:cs="Arial"/>
          <w:color w:val="666666"/>
          <w:sz w:val="20"/>
          <w:lang w:val="de-DE" w:eastAsia="es-ES"/>
        </w:rPr>
        <w:t> </w:t>
      </w:r>
      <w:r w:rsidRPr="00BD0B80">
        <w:rPr>
          <w:rFonts w:ascii="Arial" w:eastAsia="Times New Roman" w:hAnsi="Arial" w:cs="Arial"/>
          <w:color w:val="FF0000"/>
          <w:sz w:val="20"/>
          <w:szCs w:val="20"/>
          <w:lang w:val="de-DE" w:eastAsia="es-ES"/>
        </w:rPr>
        <w:t>§ 249  - </w:t>
      </w:r>
      <w:r w:rsidRPr="00BD0B80">
        <w:rPr>
          <w:rFonts w:ascii="Arial" w:eastAsia="Times New Roman" w:hAnsi="Arial" w:cs="Arial"/>
          <w:color w:val="FF0000"/>
          <w:sz w:val="20"/>
          <w:lang w:val="de-DE" w:eastAsia="es-ES"/>
        </w:rPr>
        <w:t> </w:t>
      </w:r>
      <w:r w:rsidRPr="00BD0B80">
        <w:rPr>
          <w:rFonts w:ascii="Arial" w:eastAsia="Times New Roman" w:hAnsi="Arial" w:cs="Arial"/>
          <w:color w:val="666666"/>
          <w:sz w:val="20"/>
          <w:szCs w:val="20"/>
          <w:lang w:val="de-DE" w:eastAsia="es-ES"/>
        </w:rPr>
        <w:t>der  schwere Raub </w:t>
      </w:r>
      <w:r w:rsidRPr="00BD0B80">
        <w:rPr>
          <w:rFonts w:ascii="Arial" w:eastAsia="Times New Roman" w:hAnsi="Arial" w:cs="Arial"/>
          <w:color w:val="666666"/>
          <w:sz w:val="20"/>
          <w:lang w:val="de-DE" w:eastAsia="es-ES"/>
        </w:rPr>
        <w:t> </w:t>
      </w:r>
      <w:r w:rsidRPr="00BD0B80">
        <w:rPr>
          <w:rFonts w:ascii="Arial" w:eastAsia="Times New Roman" w:hAnsi="Arial" w:cs="Arial"/>
          <w:color w:val="FF0000"/>
          <w:sz w:val="20"/>
          <w:szCs w:val="20"/>
          <w:lang w:val="de-DE" w:eastAsia="es-ES"/>
        </w:rPr>
        <w:t>§ 250  -    </w:t>
      </w:r>
      <w:r w:rsidRPr="00BD0B80">
        <w:rPr>
          <w:rFonts w:ascii="Arial" w:eastAsia="Times New Roman" w:hAnsi="Arial" w:cs="Arial"/>
          <w:color w:val="FF0000"/>
          <w:sz w:val="20"/>
          <w:lang w:val="de-DE" w:eastAsia="es-ES"/>
        </w:rPr>
        <w:t> </w:t>
      </w:r>
      <w:r w:rsidRPr="00BD0B80">
        <w:rPr>
          <w:rFonts w:ascii="Arial" w:eastAsia="Times New Roman" w:hAnsi="Arial" w:cs="Arial"/>
          <w:color w:val="666666"/>
          <w:sz w:val="20"/>
          <w:szCs w:val="20"/>
          <w:lang w:val="de-DE" w:eastAsia="es-ES"/>
        </w:rPr>
        <w:t>der Raub mit Todesfolge </w:t>
      </w:r>
      <w:r w:rsidRPr="00BD0B80">
        <w:rPr>
          <w:rFonts w:ascii="Arial" w:eastAsia="Times New Roman" w:hAnsi="Arial" w:cs="Arial"/>
          <w:color w:val="666666"/>
          <w:sz w:val="20"/>
          <w:lang w:val="de-DE" w:eastAsia="es-ES"/>
        </w:rPr>
        <w:t> </w:t>
      </w:r>
      <w:r w:rsidRPr="00BD0B80">
        <w:rPr>
          <w:rFonts w:ascii="Arial" w:eastAsia="Times New Roman" w:hAnsi="Arial" w:cs="Arial"/>
          <w:color w:val="FF0000"/>
          <w:sz w:val="20"/>
          <w:szCs w:val="20"/>
          <w:lang w:val="de-DE" w:eastAsia="es-ES"/>
        </w:rPr>
        <w:t>§ 251  - </w:t>
      </w:r>
      <w:r w:rsidRPr="00BD0B80">
        <w:rPr>
          <w:rFonts w:ascii="Arial" w:eastAsia="Times New Roman" w:hAnsi="Arial" w:cs="Arial"/>
          <w:color w:val="FF0000"/>
          <w:sz w:val="20"/>
          <w:lang w:val="de-DE" w:eastAsia="es-ES"/>
        </w:rPr>
        <w:t> </w:t>
      </w:r>
      <w:r w:rsidRPr="00BD0B80">
        <w:rPr>
          <w:rFonts w:ascii="Arial" w:eastAsia="Times New Roman" w:hAnsi="Arial" w:cs="Arial"/>
          <w:b/>
          <w:bCs/>
          <w:color w:val="666666"/>
          <w:sz w:val="20"/>
          <w:szCs w:val="20"/>
          <w:lang w:val="de-DE" w:eastAsia="es-ES"/>
        </w:rPr>
        <w:t>el robo (formas)</w:t>
      </w:r>
    </w:p>
    <w:p w:rsidR="00BD0B80" w:rsidRPr="00BD0B80" w:rsidRDefault="00BD0B80" w:rsidP="00BD0B80">
      <w:pPr>
        <w:spacing w:after="0" w:line="273" w:lineRule="atLeast"/>
        <w:rPr>
          <w:rFonts w:ascii="Arial" w:eastAsia="Times New Roman" w:hAnsi="Arial" w:cs="Arial"/>
          <w:color w:val="666666"/>
          <w:sz w:val="20"/>
          <w:szCs w:val="20"/>
          <w:lang w:val="de-DE" w:eastAsia="es-ES"/>
        </w:rPr>
      </w:pPr>
      <w:r w:rsidRPr="00BD0B80">
        <w:rPr>
          <w:rFonts w:ascii="Helvetica" w:eastAsia="Times New Roman" w:hAnsi="Helvetica" w:cs="Helvetica"/>
          <w:b/>
          <w:bCs/>
          <w:color w:val="51555C"/>
          <w:sz w:val="20"/>
          <w:lang w:val="de-DE" w:eastAsia="es-ES"/>
        </w:rPr>
        <w:t>da mihi factum dabo tibi ius</w:t>
      </w:r>
      <w:r w:rsidRPr="00BD0B80">
        <w:rPr>
          <w:rFonts w:ascii="Helvetica" w:eastAsia="Times New Roman" w:hAnsi="Helvetica" w:cs="Helvetica"/>
          <w:color w:val="51555C"/>
          <w:sz w:val="20"/>
          <w:lang w:val="de-DE" w:eastAsia="es-ES"/>
        </w:rPr>
        <w:t> </w:t>
      </w:r>
      <w:r w:rsidRPr="00BD0B80">
        <w:rPr>
          <w:rFonts w:ascii="Helvetica" w:eastAsia="Times New Roman" w:hAnsi="Helvetica" w:cs="Helvetica"/>
          <w:color w:val="51555C"/>
          <w:sz w:val="20"/>
          <w:szCs w:val="20"/>
          <w:shd w:val="clear" w:color="auto" w:fill="FFFFFF"/>
          <w:lang w:val="de-DE" w:eastAsia="es-ES"/>
        </w:rPr>
        <w:t>– Gib mir den Sachverhalt, ich werde dir das Recht geben</w:t>
      </w:r>
      <w:r w:rsidRPr="00BD0B80">
        <w:rPr>
          <w:rFonts w:ascii="Helvetica" w:eastAsia="Times New Roman" w:hAnsi="Helvetica" w:cs="Helvetica"/>
          <w:color w:val="51555C"/>
          <w:sz w:val="20"/>
          <w:szCs w:val="20"/>
          <w:lang w:val="de-DE" w:eastAsia="es-ES"/>
        </w:rPr>
        <w:br/>
      </w:r>
      <w:r w:rsidRPr="00BD0B80">
        <w:rPr>
          <w:rFonts w:ascii="Helvetica" w:eastAsia="Times New Roman" w:hAnsi="Helvetica" w:cs="Helvetica"/>
          <w:b/>
          <w:bCs/>
          <w:color w:val="51555C"/>
          <w:sz w:val="20"/>
          <w:lang w:val="de-DE" w:eastAsia="es-ES"/>
        </w:rPr>
        <w:t>de facto</w:t>
      </w:r>
      <w:r w:rsidRPr="00BD0B80">
        <w:rPr>
          <w:rFonts w:ascii="Helvetica" w:eastAsia="Times New Roman" w:hAnsi="Helvetica" w:cs="Helvetica"/>
          <w:color w:val="51555C"/>
          <w:sz w:val="20"/>
          <w:lang w:val="de-DE" w:eastAsia="es-ES"/>
        </w:rPr>
        <w:t> </w:t>
      </w:r>
      <w:r w:rsidRPr="00BD0B80">
        <w:rPr>
          <w:rFonts w:ascii="Helvetica" w:eastAsia="Times New Roman" w:hAnsi="Helvetica" w:cs="Helvetica"/>
          <w:color w:val="51555C"/>
          <w:sz w:val="20"/>
          <w:szCs w:val="20"/>
          <w:shd w:val="clear" w:color="auto" w:fill="FFFFFF"/>
          <w:lang w:val="de-DE" w:eastAsia="es-ES"/>
        </w:rPr>
        <w:t>– in Wirklichkeit</w:t>
      </w:r>
      <w:r w:rsidRPr="00BD0B80">
        <w:rPr>
          <w:rFonts w:ascii="Helvetica" w:eastAsia="Times New Roman" w:hAnsi="Helvetica" w:cs="Helvetica"/>
          <w:color w:val="51555C"/>
          <w:sz w:val="20"/>
          <w:szCs w:val="20"/>
          <w:lang w:val="de-DE" w:eastAsia="es-ES"/>
        </w:rPr>
        <w:br/>
      </w:r>
      <w:r w:rsidRPr="00BD0B80">
        <w:rPr>
          <w:rFonts w:ascii="Helvetica" w:eastAsia="Times New Roman" w:hAnsi="Helvetica" w:cs="Helvetica"/>
          <w:b/>
          <w:bCs/>
          <w:color w:val="51555C"/>
          <w:sz w:val="20"/>
          <w:lang w:val="de-DE" w:eastAsia="es-ES"/>
        </w:rPr>
        <w:t>de jure</w:t>
      </w:r>
      <w:r w:rsidRPr="00BD0B80">
        <w:rPr>
          <w:rFonts w:ascii="Helvetica" w:eastAsia="Times New Roman" w:hAnsi="Helvetica" w:cs="Helvetica"/>
          <w:color w:val="51555C"/>
          <w:sz w:val="20"/>
          <w:lang w:val="de-DE" w:eastAsia="es-ES"/>
        </w:rPr>
        <w:t> </w:t>
      </w:r>
      <w:r w:rsidRPr="00BD0B80">
        <w:rPr>
          <w:rFonts w:ascii="Helvetica" w:eastAsia="Times New Roman" w:hAnsi="Helvetica" w:cs="Helvetica"/>
          <w:color w:val="51555C"/>
          <w:sz w:val="20"/>
          <w:szCs w:val="20"/>
          <w:shd w:val="clear" w:color="auto" w:fill="FFFFFF"/>
          <w:lang w:val="de-DE" w:eastAsia="es-ES"/>
        </w:rPr>
        <w:t>– von Gesetzes wegen</w:t>
      </w:r>
      <w:r w:rsidRPr="00BD0B80">
        <w:rPr>
          <w:rFonts w:ascii="Helvetica" w:eastAsia="Times New Roman" w:hAnsi="Helvetica" w:cs="Helvetica"/>
          <w:color w:val="51555C"/>
          <w:sz w:val="20"/>
          <w:szCs w:val="20"/>
          <w:lang w:val="de-DE" w:eastAsia="es-ES"/>
        </w:rPr>
        <w:br/>
      </w:r>
      <w:r w:rsidRPr="00BD0B80">
        <w:rPr>
          <w:rFonts w:ascii="Helvetica" w:eastAsia="Times New Roman" w:hAnsi="Helvetica" w:cs="Helvetica"/>
          <w:b/>
          <w:bCs/>
          <w:color w:val="51555C"/>
          <w:sz w:val="20"/>
          <w:lang w:val="de-DE" w:eastAsia="es-ES"/>
        </w:rPr>
        <w:t>de lege artis</w:t>
      </w:r>
      <w:r w:rsidRPr="00BD0B80">
        <w:rPr>
          <w:rFonts w:ascii="Helvetica" w:eastAsia="Times New Roman" w:hAnsi="Helvetica" w:cs="Helvetica"/>
          <w:color w:val="51555C"/>
          <w:sz w:val="20"/>
          <w:lang w:val="de-DE" w:eastAsia="es-ES"/>
        </w:rPr>
        <w:t> </w:t>
      </w:r>
      <w:r w:rsidRPr="00BD0B80">
        <w:rPr>
          <w:rFonts w:ascii="Helvetica" w:eastAsia="Times New Roman" w:hAnsi="Helvetica" w:cs="Helvetica"/>
          <w:color w:val="51555C"/>
          <w:sz w:val="20"/>
          <w:szCs w:val="20"/>
          <w:shd w:val="clear" w:color="auto" w:fill="FFFFFF"/>
          <w:lang w:val="de-DE" w:eastAsia="es-ES"/>
        </w:rPr>
        <w:t>– nach den Regeln der Kunst.</w:t>
      </w:r>
    </w:p>
    <w:p w:rsidR="00BD0B80" w:rsidRPr="00BD0B80" w:rsidRDefault="00BD0B80" w:rsidP="00BD0B80">
      <w:pPr>
        <w:spacing w:after="0" w:line="273" w:lineRule="atLeast"/>
        <w:rPr>
          <w:rFonts w:ascii="Arial" w:eastAsia="Times New Roman" w:hAnsi="Arial" w:cs="Arial"/>
          <w:color w:val="666666"/>
          <w:sz w:val="20"/>
          <w:szCs w:val="20"/>
          <w:lang w:val="de-DE" w:eastAsia="es-ES"/>
        </w:rPr>
      </w:pPr>
      <w:r w:rsidRPr="00BD0B80">
        <w:rPr>
          <w:rFonts w:ascii="Helvetica" w:eastAsia="Times New Roman" w:hAnsi="Helvetica" w:cs="Helvetica"/>
          <w:b/>
          <w:bCs/>
          <w:color w:val="51555C"/>
          <w:sz w:val="20"/>
          <w:lang w:val="de-DE" w:eastAsia="es-ES"/>
        </w:rPr>
        <w:t>vis absoluta </w:t>
      </w:r>
      <w:r w:rsidRPr="00BD0B80">
        <w:rPr>
          <w:rFonts w:ascii="Helvetica" w:eastAsia="Times New Roman" w:hAnsi="Helvetica" w:cs="Helvetica"/>
          <w:color w:val="51555C"/>
          <w:sz w:val="20"/>
          <w:szCs w:val="20"/>
          <w:shd w:val="clear" w:color="auto" w:fill="FFFFFF"/>
          <w:lang w:val="de-DE" w:eastAsia="es-ES"/>
        </w:rPr>
        <w:t>- Absolute Gewalt durch körperliches Zwingen bspw.</w:t>
      </w:r>
      <w:r w:rsidRPr="00BD0B80">
        <w:rPr>
          <w:rFonts w:ascii="Helvetica" w:eastAsia="Times New Roman" w:hAnsi="Helvetica" w:cs="Helvetica"/>
          <w:color w:val="51555C"/>
          <w:sz w:val="20"/>
          <w:szCs w:val="20"/>
          <w:lang w:val="de-DE" w:eastAsia="es-ES"/>
        </w:rPr>
        <w:br/>
      </w:r>
      <w:r w:rsidRPr="00BD0B80">
        <w:rPr>
          <w:rFonts w:ascii="Helvetica" w:eastAsia="Times New Roman" w:hAnsi="Helvetica" w:cs="Helvetica"/>
          <w:b/>
          <w:bCs/>
          <w:color w:val="51555C"/>
          <w:sz w:val="20"/>
          <w:lang w:val="de-DE" w:eastAsia="es-ES"/>
        </w:rPr>
        <w:t>vis compulsiva </w:t>
      </w:r>
      <w:r w:rsidRPr="00BD0B80">
        <w:rPr>
          <w:rFonts w:ascii="Helvetica" w:eastAsia="Times New Roman" w:hAnsi="Helvetica" w:cs="Helvetica"/>
          <w:color w:val="51555C"/>
          <w:sz w:val="20"/>
          <w:szCs w:val="20"/>
          <w:shd w:val="clear" w:color="auto" w:fill="FFFFFF"/>
          <w:lang w:val="de-DE" w:eastAsia="es-ES"/>
        </w:rPr>
        <w:t>- den Willen beugende Gewalt.Z.B. durch Drohung oder Nötigung erzeugte Gewalt.</w:t>
      </w:r>
    </w:p>
    <w:p w:rsidR="00BD0B80" w:rsidRPr="00BD0B80" w:rsidRDefault="00BD0B80" w:rsidP="00BD0B80">
      <w:pPr>
        <w:spacing w:after="240" w:line="273" w:lineRule="atLeast"/>
        <w:rPr>
          <w:rFonts w:ascii="Arial" w:eastAsia="Times New Roman" w:hAnsi="Arial" w:cs="Arial"/>
          <w:color w:val="666666"/>
          <w:sz w:val="20"/>
          <w:szCs w:val="20"/>
          <w:lang w:val="de-DE" w:eastAsia="es-ES"/>
        </w:rPr>
      </w:pPr>
      <w:r w:rsidRPr="00BD0B80">
        <w:rPr>
          <w:rFonts w:ascii="Helvetica" w:eastAsia="Times New Roman" w:hAnsi="Helvetica" w:cs="Helvetica"/>
          <w:b/>
          <w:bCs/>
          <w:color w:val="51555C"/>
          <w:sz w:val="20"/>
          <w:lang w:val="de-DE" w:eastAsia="es-ES"/>
        </w:rPr>
        <w:t>felix qui potuit rerum cognoscere causas</w:t>
      </w:r>
      <w:r w:rsidRPr="00BD0B80">
        <w:rPr>
          <w:rFonts w:ascii="Helvetica" w:eastAsia="Times New Roman" w:hAnsi="Helvetica" w:cs="Helvetica"/>
          <w:color w:val="51555C"/>
          <w:sz w:val="20"/>
          <w:lang w:val="de-DE" w:eastAsia="es-ES"/>
        </w:rPr>
        <w:t> </w:t>
      </w:r>
      <w:r w:rsidRPr="00BD0B80">
        <w:rPr>
          <w:rFonts w:ascii="Helvetica" w:eastAsia="Times New Roman" w:hAnsi="Helvetica" w:cs="Helvetica"/>
          <w:color w:val="51555C"/>
          <w:sz w:val="20"/>
          <w:szCs w:val="20"/>
          <w:shd w:val="clear" w:color="auto" w:fill="FFFFFF"/>
          <w:lang w:val="de-DE" w:eastAsia="es-ES"/>
        </w:rPr>
        <w:t>– Glücklich, wer die Ursache der Dinge erkennen konnte </w:t>
      </w:r>
    </w:p>
    <w:p w:rsidR="00BD0B80" w:rsidRPr="00BD0B80" w:rsidRDefault="00BD0B80" w:rsidP="00BD0B80">
      <w:pPr>
        <w:spacing w:after="0" w:line="273" w:lineRule="atLeast"/>
        <w:rPr>
          <w:rFonts w:ascii="Arial" w:eastAsia="Times New Roman" w:hAnsi="Arial" w:cs="Arial"/>
          <w:color w:val="666666"/>
          <w:sz w:val="20"/>
          <w:szCs w:val="20"/>
          <w:lang w:val="de-DE" w:eastAsia="es-ES"/>
        </w:rPr>
      </w:pPr>
      <w:r w:rsidRPr="00BD0B80">
        <w:rPr>
          <w:rFonts w:ascii="Helvetica" w:eastAsia="Times New Roman" w:hAnsi="Helvetica" w:cs="Helvetica"/>
          <w:b/>
          <w:bCs/>
          <w:color w:val="51555C"/>
          <w:sz w:val="20"/>
          <w:lang w:val="de-DE" w:eastAsia="es-ES"/>
        </w:rPr>
        <w:t>in dubio pro reo</w:t>
      </w:r>
      <w:r w:rsidRPr="00BD0B80">
        <w:rPr>
          <w:rFonts w:ascii="Helvetica" w:eastAsia="Times New Roman" w:hAnsi="Helvetica" w:cs="Helvetica"/>
          <w:color w:val="51555C"/>
          <w:sz w:val="20"/>
          <w:lang w:val="de-DE" w:eastAsia="es-ES"/>
        </w:rPr>
        <w:t> </w:t>
      </w:r>
      <w:r w:rsidRPr="00BD0B80">
        <w:rPr>
          <w:rFonts w:ascii="Helvetica" w:eastAsia="Times New Roman" w:hAnsi="Helvetica" w:cs="Helvetica"/>
          <w:color w:val="51555C"/>
          <w:sz w:val="20"/>
          <w:szCs w:val="20"/>
          <w:shd w:val="clear" w:color="auto" w:fill="FFFFFF"/>
          <w:lang w:val="de-DE" w:eastAsia="es-ES"/>
        </w:rPr>
        <w:t>– Im Zweifel für den Angeklagten.Grundsatz der aus</w:t>
      </w:r>
      <w:r w:rsidRPr="00BD0B80">
        <w:rPr>
          <w:rFonts w:ascii="Helvetica" w:eastAsia="Times New Roman" w:hAnsi="Helvetica" w:cs="Helvetica"/>
          <w:color w:val="51555C"/>
          <w:sz w:val="20"/>
          <w:lang w:val="de-DE" w:eastAsia="es-ES"/>
        </w:rPr>
        <w:t> </w:t>
      </w:r>
      <w:hyperlink r:id="rId5" w:history="1">
        <w:r w:rsidRPr="00BD0B80">
          <w:rPr>
            <w:rFonts w:ascii="Helvetica" w:eastAsia="Times New Roman" w:hAnsi="Helvetica" w:cs="Helvetica"/>
            <w:color w:val="F07408"/>
            <w:sz w:val="20"/>
            <w:lang w:val="de-DE" w:eastAsia="es-ES"/>
          </w:rPr>
          <w:t>Art. 103 GG</w:t>
        </w:r>
      </w:hyperlink>
      <w:r w:rsidRPr="00BD0B80">
        <w:rPr>
          <w:rFonts w:ascii="Helvetica" w:eastAsia="Times New Roman" w:hAnsi="Helvetica" w:cs="Helvetica"/>
          <w:color w:val="51555C"/>
          <w:sz w:val="20"/>
          <w:lang w:val="de-DE" w:eastAsia="es-ES"/>
        </w:rPr>
        <w:t> </w:t>
      </w:r>
      <w:r w:rsidRPr="00BD0B80">
        <w:rPr>
          <w:rFonts w:ascii="Helvetica" w:eastAsia="Times New Roman" w:hAnsi="Helvetica" w:cs="Helvetica"/>
          <w:color w:val="51555C"/>
          <w:sz w:val="20"/>
          <w:szCs w:val="20"/>
          <w:shd w:val="clear" w:color="auto" w:fill="FFFFFF"/>
          <w:lang w:val="de-DE" w:eastAsia="es-ES"/>
        </w:rPr>
        <w:t>und</w:t>
      </w:r>
      <w:r w:rsidRPr="00BD0B80">
        <w:rPr>
          <w:rFonts w:ascii="Helvetica" w:eastAsia="Times New Roman" w:hAnsi="Helvetica" w:cs="Helvetica"/>
          <w:color w:val="51555C"/>
          <w:sz w:val="20"/>
          <w:lang w:val="de-DE" w:eastAsia="es-ES"/>
        </w:rPr>
        <w:t> </w:t>
      </w:r>
      <w:hyperlink r:id="rId6" w:history="1">
        <w:r w:rsidRPr="00BD0B80">
          <w:rPr>
            <w:rFonts w:ascii="Helvetica" w:eastAsia="Times New Roman" w:hAnsi="Helvetica" w:cs="Helvetica"/>
            <w:color w:val="F07408"/>
            <w:sz w:val="20"/>
            <w:lang w:val="de-DE" w:eastAsia="es-ES"/>
          </w:rPr>
          <w:t>§ 261 StPO</w:t>
        </w:r>
      </w:hyperlink>
      <w:r w:rsidRPr="00BD0B80">
        <w:rPr>
          <w:rFonts w:ascii="Helvetica" w:eastAsia="Times New Roman" w:hAnsi="Helvetica" w:cs="Helvetica"/>
          <w:color w:val="51555C"/>
          <w:sz w:val="20"/>
          <w:lang w:val="de-DE" w:eastAsia="es-ES"/>
        </w:rPr>
        <w:t> </w:t>
      </w:r>
      <w:r w:rsidRPr="00BD0B80">
        <w:rPr>
          <w:rFonts w:ascii="Helvetica" w:eastAsia="Times New Roman" w:hAnsi="Helvetica" w:cs="Helvetica"/>
          <w:color w:val="51555C"/>
          <w:sz w:val="20"/>
          <w:szCs w:val="20"/>
          <w:shd w:val="clear" w:color="auto" w:fill="FFFFFF"/>
          <w:lang w:val="de-DE" w:eastAsia="es-ES"/>
        </w:rPr>
        <w:t>abgeleitet. Demnach darf ein Angeklagter nicht verurteilt werden,wenn dem Gericht Zweifel an seiner Schuld bestehen. -</w:t>
      </w:r>
      <w:r w:rsidRPr="00BD0B80">
        <w:rPr>
          <w:rFonts w:ascii="Arial" w:eastAsia="Times New Roman" w:hAnsi="Arial" w:cs="Arial"/>
          <w:color w:val="666666"/>
          <w:sz w:val="20"/>
          <w:szCs w:val="20"/>
          <w:lang w:val="de-DE" w:eastAsia="es-ES"/>
        </w:rPr>
        <w:br/>
      </w:r>
      <w:r w:rsidRPr="00BD0B80">
        <w:rPr>
          <w:rFonts w:ascii="Helvetica" w:eastAsia="Times New Roman" w:hAnsi="Helvetica" w:cs="Helvetica"/>
          <w:color w:val="51555C"/>
          <w:sz w:val="20"/>
          <w:szCs w:val="20"/>
          <w:shd w:val="clear" w:color="auto" w:fill="FFFFFF"/>
          <w:lang w:val="de-DE" w:eastAsia="es-ES"/>
        </w:rPr>
        <w:br/>
      </w:r>
      <w:r w:rsidRPr="00BD0B80">
        <w:rPr>
          <w:rFonts w:ascii="Helvetica" w:eastAsia="Times New Roman" w:hAnsi="Helvetica" w:cs="Helvetica"/>
          <w:b/>
          <w:bCs/>
          <w:color w:val="51555C"/>
          <w:sz w:val="20"/>
          <w:lang w:val="de-DE" w:eastAsia="es-ES"/>
        </w:rPr>
        <w:t>iura novit curia</w:t>
      </w:r>
      <w:r w:rsidRPr="00BD0B80">
        <w:rPr>
          <w:rFonts w:ascii="Helvetica" w:eastAsia="Times New Roman" w:hAnsi="Helvetica" w:cs="Helvetica"/>
          <w:color w:val="51555C"/>
          <w:sz w:val="20"/>
          <w:lang w:val="de-DE" w:eastAsia="es-ES"/>
        </w:rPr>
        <w:t> </w:t>
      </w:r>
      <w:r w:rsidRPr="00BD0B80">
        <w:rPr>
          <w:rFonts w:ascii="Helvetica" w:eastAsia="Times New Roman" w:hAnsi="Helvetica" w:cs="Helvetica"/>
          <w:color w:val="51555C"/>
          <w:sz w:val="20"/>
          <w:szCs w:val="20"/>
          <w:shd w:val="clear" w:color="auto" w:fill="FFFFFF"/>
          <w:lang w:val="de-DE" w:eastAsia="es-ES"/>
        </w:rPr>
        <w:t>– Das Rechte wird das Gericht wissen</w:t>
      </w:r>
    </w:p>
    <w:p w:rsidR="00BD0B80" w:rsidRPr="00BD0B80" w:rsidRDefault="00BD0B80" w:rsidP="00BD0B80">
      <w:pPr>
        <w:spacing w:after="240" w:line="273" w:lineRule="atLeast"/>
        <w:rPr>
          <w:rFonts w:ascii="Arial" w:eastAsia="Times New Roman" w:hAnsi="Arial" w:cs="Arial"/>
          <w:color w:val="666666"/>
          <w:sz w:val="20"/>
          <w:szCs w:val="20"/>
          <w:lang w:val="de-DE" w:eastAsia="es-ES"/>
        </w:rPr>
      </w:pPr>
      <w:r w:rsidRPr="00BD0B80">
        <w:rPr>
          <w:rFonts w:ascii="Helvetica" w:eastAsia="Times New Roman" w:hAnsi="Helvetica" w:cs="Helvetica"/>
          <w:b/>
          <w:bCs/>
          <w:color w:val="51555C"/>
          <w:sz w:val="20"/>
          <w:lang w:val="de-DE" w:eastAsia="es-ES"/>
        </w:rPr>
        <w:t>minima non curat praetor</w:t>
      </w:r>
      <w:r w:rsidRPr="00BD0B80">
        <w:rPr>
          <w:rFonts w:ascii="Helvetica" w:eastAsia="Times New Roman" w:hAnsi="Helvetica" w:cs="Helvetica"/>
          <w:color w:val="51555C"/>
          <w:sz w:val="20"/>
          <w:lang w:val="de-DE" w:eastAsia="es-ES"/>
        </w:rPr>
        <w:t> </w:t>
      </w:r>
      <w:r w:rsidRPr="00BD0B80">
        <w:rPr>
          <w:rFonts w:ascii="Helvetica" w:eastAsia="Times New Roman" w:hAnsi="Helvetica" w:cs="Helvetica"/>
          <w:color w:val="51555C"/>
          <w:sz w:val="20"/>
          <w:szCs w:val="20"/>
          <w:shd w:val="clear" w:color="auto" w:fill="FFFFFF"/>
          <w:lang w:val="de-DE" w:eastAsia="es-ES"/>
        </w:rPr>
        <w:t>– Das Gesetz kümmert sich nicht um Kleinigkeiten.Hat seinen Ursprung im römischen Recht,wo geringfügige Verstösse vom römischen Strafrichter,dem Prätor, nicht geahndet wurden.Im heutigen Recht findet sich diese Aussage im Strafprozessrecht wieder, gem.</w:t>
      </w:r>
      <w:r w:rsidRPr="00BD0B80">
        <w:rPr>
          <w:rFonts w:ascii="Helvetica" w:eastAsia="Times New Roman" w:hAnsi="Helvetica" w:cs="Helvetica"/>
          <w:color w:val="51555C"/>
          <w:sz w:val="20"/>
          <w:lang w:val="de-DE" w:eastAsia="es-ES"/>
        </w:rPr>
        <w:t> </w:t>
      </w:r>
      <w:hyperlink r:id="rId7" w:history="1">
        <w:r w:rsidRPr="00BD0B80">
          <w:rPr>
            <w:rFonts w:ascii="Helvetica" w:eastAsia="Times New Roman" w:hAnsi="Helvetica" w:cs="Helvetica"/>
            <w:color w:val="F07408"/>
            <w:sz w:val="20"/>
            <w:lang w:val="de-DE" w:eastAsia="es-ES"/>
          </w:rPr>
          <w:t>§ 153 StPO</w:t>
        </w:r>
      </w:hyperlink>
      <w:r w:rsidRPr="00BD0B80">
        <w:rPr>
          <w:rFonts w:ascii="Helvetica" w:eastAsia="Times New Roman" w:hAnsi="Helvetica" w:cs="Helvetica"/>
          <w:color w:val="51555C"/>
          <w:sz w:val="20"/>
          <w:lang w:val="de-DE" w:eastAsia="es-ES"/>
        </w:rPr>
        <w:t> </w:t>
      </w:r>
      <w:r w:rsidRPr="00BD0B80">
        <w:rPr>
          <w:rFonts w:ascii="Helvetica" w:eastAsia="Times New Roman" w:hAnsi="Helvetica" w:cs="Helvetica"/>
          <w:color w:val="51555C"/>
          <w:sz w:val="20"/>
          <w:szCs w:val="20"/>
          <w:shd w:val="clear" w:color="auto" w:fill="FFFFFF"/>
          <w:lang w:val="de-DE" w:eastAsia="es-ES"/>
        </w:rPr>
        <w:t>können Verfahren wegen Geringfügigkeit eingestellt werden.</w:t>
      </w:r>
      <w:r w:rsidRPr="00BD0B80">
        <w:rPr>
          <w:rFonts w:ascii="Helvetica" w:eastAsia="Times New Roman" w:hAnsi="Helvetica" w:cs="Helvetica"/>
          <w:color w:val="51555C"/>
          <w:sz w:val="20"/>
          <w:lang w:val="de-DE" w:eastAsia="es-ES"/>
        </w:rPr>
        <w:t> </w:t>
      </w:r>
      <w:r w:rsidRPr="00BD0B80">
        <w:rPr>
          <w:rFonts w:ascii="Helvetica" w:eastAsia="Times New Roman" w:hAnsi="Helvetica" w:cs="Helvetica"/>
          <w:b/>
          <w:bCs/>
          <w:color w:val="51555C"/>
          <w:sz w:val="20"/>
          <w:szCs w:val="20"/>
          <w:shd w:val="clear" w:color="auto" w:fill="FFFFFF"/>
          <w:lang w:val="de-DE" w:eastAsia="es-ES"/>
        </w:rPr>
        <w:t>(Bagatell)</w:t>
      </w:r>
    </w:p>
    <w:p w:rsidR="00BD0B80" w:rsidRPr="00BD0B80" w:rsidRDefault="00BD0B80" w:rsidP="00BD0B80">
      <w:pPr>
        <w:spacing w:after="0" w:line="273" w:lineRule="atLeast"/>
        <w:rPr>
          <w:rFonts w:ascii="Arial" w:eastAsia="Times New Roman" w:hAnsi="Arial" w:cs="Arial"/>
          <w:color w:val="666666"/>
          <w:sz w:val="20"/>
          <w:szCs w:val="20"/>
          <w:lang w:val="de-DE" w:eastAsia="es-ES"/>
        </w:rPr>
      </w:pPr>
      <w:r w:rsidRPr="00BD0B80">
        <w:rPr>
          <w:rFonts w:ascii="Helvetica" w:eastAsia="Times New Roman" w:hAnsi="Helvetica" w:cs="Helvetica"/>
          <w:b/>
          <w:bCs/>
          <w:color w:val="51555C"/>
          <w:sz w:val="20"/>
          <w:lang w:val="de-DE" w:eastAsia="es-ES"/>
        </w:rPr>
        <w:t>ne bis in idem</w:t>
      </w:r>
      <w:r w:rsidRPr="00BD0B80">
        <w:rPr>
          <w:rFonts w:ascii="Helvetica" w:eastAsia="Times New Roman" w:hAnsi="Helvetica" w:cs="Helvetica"/>
          <w:color w:val="51555C"/>
          <w:sz w:val="20"/>
          <w:lang w:val="de-DE" w:eastAsia="es-ES"/>
        </w:rPr>
        <w:t> </w:t>
      </w:r>
      <w:r w:rsidRPr="00BD0B80">
        <w:rPr>
          <w:rFonts w:ascii="Helvetica" w:eastAsia="Times New Roman" w:hAnsi="Helvetica" w:cs="Helvetica"/>
          <w:color w:val="51555C"/>
          <w:sz w:val="20"/>
          <w:szCs w:val="20"/>
          <w:shd w:val="clear" w:color="auto" w:fill="FFFFFF"/>
          <w:lang w:val="de-DE" w:eastAsia="es-ES"/>
        </w:rPr>
        <w:t>– Nicht zweimal in der selben Sache </w:t>
      </w:r>
      <w:hyperlink r:id="rId8" w:history="1">
        <w:r w:rsidRPr="00BD0B80">
          <w:rPr>
            <w:rFonts w:ascii="Helvetica" w:eastAsia="Times New Roman" w:hAnsi="Helvetica" w:cs="Helvetica"/>
            <w:color w:val="F07408"/>
            <w:sz w:val="20"/>
            <w:lang w:val="de-DE" w:eastAsia="es-ES"/>
          </w:rPr>
          <w:t>Art. 103 III GG</w:t>
        </w:r>
      </w:hyperlink>
    </w:p>
    <w:p w:rsidR="00BD0B80" w:rsidRPr="00BD0B80" w:rsidRDefault="00BD0B80" w:rsidP="00BD0B80">
      <w:pPr>
        <w:spacing w:after="0" w:line="273" w:lineRule="atLeast"/>
        <w:rPr>
          <w:rFonts w:ascii="Arial" w:eastAsia="Times New Roman" w:hAnsi="Arial" w:cs="Arial"/>
          <w:color w:val="666666"/>
          <w:sz w:val="20"/>
          <w:szCs w:val="20"/>
          <w:lang w:val="de-DE" w:eastAsia="es-ES"/>
        </w:rPr>
      </w:pPr>
      <w:r w:rsidRPr="00BD0B80">
        <w:rPr>
          <w:rFonts w:ascii="Helvetica" w:eastAsia="Times New Roman" w:hAnsi="Helvetica" w:cs="Helvetica"/>
          <w:b/>
          <w:bCs/>
          <w:color w:val="51555C"/>
          <w:sz w:val="20"/>
          <w:lang w:val="de-DE" w:eastAsia="es-ES"/>
        </w:rPr>
        <w:t>non liquet</w:t>
      </w:r>
      <w:r w:rsidRPr="00BD0B80">
        <w:rPr>
          <w:rFonts w:ascii="Helvetica" w:eastAsia="Times New Roman" w:hAnsi="Helvetica" w:cs="Helvetica"/>
          <w:color w:val="51555C"/>
          <w:sz w:val="20"/>
          <w:lang w:val="de-DE" w:eastAsia="es-ES"/>
        </w:rPr>
        <w:t> </w:t>
      </w:r>
      <w:r w:rsidRPr="00BD0B80">
        <w:rPr>
          <w:rFonts w:ascii="Helvetica" w:eastAsia="Times New Roman" w:hAnsi="Helvetica" w:cs="Helvetica"/>
          <w:color w:val="51555C"/>
          <w:sz w:val="20"/>
          <w:szCs w:val="20"/>
          <w:shd w:val="clear" w:color="auto" w:fill="FFFFFF"/>
          <w:lang w:val="de-DE" w:eastAsia="es-ES"/>
        </w:rPr>
        <w:t>– es besteht keine Klarheit. Im Strafprozess führt eine unklare Beweislage entweder zur Einstellung des Verfahrens oder dem Freispruch des Angeklagten.</w:t>
      </w:r>
    </w:p>
    <w:p w:rsidR="00BD0B80" w:rsidRPr="00BD0B80" w:rsidRDefault="00BD0B80" w:rsidP="00BD0B80">
      <w:pPr>
        <w:spacing w:after="0" w:line="273" w:lineRule="atLeast"/>
        <w:rPr>
          <w:rFonts w:ascii="Arial" w:eastAsia="Times New Roman" w:hAnsi="Arial" w:cs="Arial"/>
          <w:color w:val="666666"/>
          <w:sz w:val="20"/>
          <w:szCs w:val="20"/>
          <w:lang w:val="de-DE" w:eastAsia="es-ES"/>
        </w:rPr>
      </w:pPr>
    </w:p>
    <w:p w:rsidR="00BD0B80" w:rsidRPr="00BD0B80" w:rsidRDefault="00BD0B80" w:rsidP="00BD0B80">
      <w:pPr>
        <w:spacing w:after="0" w:line="273" w:lineRule="atLeast"/>
        <w:rPr>
          <w:rFonts w:ascii="Arial" w:eastAsia="Times New Roman" w:hAnsi="Arial" w:cs="Arial"/>
          <w:color w:val="666666"/>
          <w:sz w:val="20"/>
          <w:szCs w:val="20"/>
          <w:lang w:val="de-DE" w:eastAsia="es-ES"/>
        </w:rPr>
      </w:pPr>
      <w:r w:rsidRPr="00BD0B80">
        <w:rPr>
          <w:rFonts w:ascii="Helvetica" w:eastAsia="Times New Roman" w:hAnsi="Helvetica" w:cs="Helvetica"/>
          <w:b/>
          <w:bCs/>
          <w:color w:val="51555C"/>
          <w:sz w:val="20"/>
          <w:lang w:val="de-DE" w:eastAsia="es-ES"/>
        </w:rPr>
        <w:t>Qui tacet,consentire non videtur</w:t>
      </w:r>
      <w:r w:rsidRPr="00BD0B80">
        <w:rPr>
          <w:rFonts w:ascii="Helvetica" w:eastAsia="Times New Roman" w:hAnsi="Helvetica" w:cs="Helvetica"/>
          <w:color w:val="51555C"/>
          <w:sz w:val="20"/>
          <w:lang w:val="de-DE" w:eastAsia="es-ES"/>
        </w:rPr>
        <w:t> </w:t>
      </w:r>
      <w:r w:rsidRPr="00BD0B80">
        <w:rPr>
          <w:rFonts w:ascii="Helvetica" w:eastAsia="Times New Roman" w:hAnsi="Helvetica" w:cs="Helvetica"/>
          <w:color w:val="51555C"/>
          <w:sz w:val="20"/>
          <w:szCs w:val="20"/>
          <w:shd w:val="clear" w:color="auto" w:fill="FFFFFF"/>
          <w:lang w:val="de-DE" w:eastAsia="es-ES"/>
        </w:rPr>
        <w:t>– Wer schweigt,scheint nicht zuzustimmen.Allgemeiner Grundsatz des Zivilrechts,wonach das Schweigen nicht als Zustimmung zu einer Willenserklärung gewertet werden kann.Ausnahmen finden sich im Handelsverkehr der Kaufleute (Schweigen als Zustimmung auf ein Kaufmännisches Bestätigungsschreiben) und in der Zivilprozessordnung (</w:t>
      </w:r>
      <w:hyperlink r:id="rId9" w:history="1">
        <w:r w:rsidRPr="00BD0B80">
          <w:rPr>
            <w:rFonts w:ascii="Helvetica" w:eastAsia="Times New Roman" w:hAnsi="Helvetica" w:cs="Helvetica"/>
            <w:color w:val="F07408"/>
            <w:sz w:val="20"/>
            <w:lang w:val="de-DE" w:eastAsia="es-ES"/>
          </w:rPr>
          <w:t>§ 138 III ZPO</w:t>
        </w:r>
      </w:hyperlink>
      <w:r w:rsidRPr="00BD0B80">
        <w:rPr>
          <w:rFonts w:ascii="Helvetica" w:eastAsia="Times New Roman" w:hAnsi="Helvetica" w:cs="Helvetica"/>
          <w:color w:val="51555C"/>
          <w:sz w:val="20"/>
          <w:szCs w:val="20"/>
          <w:shd w:val="clear" w:color="auto" w:fill="FFFFFF"/>
          <w:lang w:val="de-DE" w:eastAsia="es-ES"/>
        </w:rPr>
        <w:t>).</w:t>
      </w:r>
    </w:p>
    <w:p w:rsidR="008539E0" w:rsidRPr="00BD0B80" w:rsidRDefault="008539E0" w:rsidP="00BD0B80">
      <w:pPr>
        <w:rPr>
          <w:lang w:val="de-DE"/>
        </w:rPr>
      </w:pPr>
    </w:p>
    <w:sectPr w:rsidR="008539E0" w:rsidRPr="00BD0B80" w:rsidSect="00BD0B80">
      <w:pgSz w:w="11906" w:h="16838"/>
      <w:pgMar w:top="1417" w:right="1133"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D0B80"/>
    <w:rsid w:val="008539E0"/>
    <w:rsid w:val="00BD0B8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9E0"/>
  </w:style>
  <w:style w:type="paragraph" w:styleId="Ttulo3">
    <w:name w:val="heading 3"/>
    <w:basedOn w:val="Normal"/>
    <w:link w:val="Ttulo3Car"/>
    <w:uiPriority w:val="9"/>
    <w:qFormat/>
    <w:rsid w:val="00BD0B80"/>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BD0B80"/>
    <w:rPr>
      <w:rFonts w:ascii="Times New Roman" w:eastAsia="Times New Roman" w:hAnsi="Times New Roman" w:cs="Times New Roman"/>
      <w:b/>
      <w:bCs/>
      <w:sz w:val="27"/>
      <w:szCs w:val="27"/>
      <w:lang w:eastAsia="es-ES"/>
    </w:rPr>
  </w:style>
  <w:style w:type="character" w:customStyle="1" w:styleId="apple-converted-space">
    <w:name w:val="apple-converted-space"/>
    <w:basedOn w:val="Fuentedeprrafopredeter"/>
    <w:rsid w:val="00BD0B80"/>
  </w:style>
  <w:style w:type="character" w:styleId="Hipervnculo">
    <w:name w:val="Hyperlink"/>
    <w:basedOn w:val="Fuentedeprrafopredeter"/>
    <w:uiPriority w:val="99"/>
    <w:semiHidden/>
    <w:unhideWhenUsed/>
    <w:rsid w:val="00BD0B80"/>
    <w:rPr>
      <w:color w:val="0000FF"/>
      <w:u w:val="single"/>
    </w:rPr>
  </w:style>
  <w:style w:type="character" w:styleId="Textoennegrita">
    <w:name w:val="Strong"/>
    <w:basedOn w:val="Fuentedeprrafopredeter"/>
    <w:uiPriority w:val="22"/>
    <w:qFormat/>
    <w:rsid w:val="00BD0B80"/>
    <w:rPr>
      <w:b/>
      <w:bCs/>
    </w:rPr>
  </w:style>
</w:styles>
</file>

<file path=word/webSettings.xml><?xml version="1.0" encoding="utf-8"?>
<w:webSettings xmlns:r="http://schemas.openxmlformats.org/officeDocument/2006/relationships" xmlns:w="http://schemas.openxmlformats.org/wordprocessingml/2006/main">
  <w:divs>
    <w:div w:id="1897812869">
      <w:bodyDiv w:val="1"/>
      <w:marLeft w:val="0"/>
      <w:marRight w:val="0"/>
      <w:marTop w:val="0"/>
      <w:marBottom w:val="0"/>
      <w:divBdr>
        <w:top w:val="none" w:sz="0" w:space="0" w:color="auto"/>
        <w:left w:val="none" w:sz="0" w:space="0" w:color="auto"/>
        <w:bottom w:val="none" w:sz="0" w:space="0" w:color="auto"/>
        <w:right w:val="none" w:sz="0" w:space="0" w:color="auto"/>
      </w:divBdr>
      <w:divsChild>
        <w:div w:id="622879921">
          <w:marLeft w:val="0"/>
          <w:marRight w:val="0"/>
          <w:marTop w:val="0"/>
          <w:marBottom w:val="0"/>
          <w:divBdr>
            <w:top w:val="none" w:sz="0" w:space="0" w:color="auto"/>
            <w:left w:val="none" w:sz="0" w:space="0" w:color="auto"/>
            <w:bottom w:val="none" w:sz="0" w:space="0" w:color="auto"/>
            <w:right w:val="none" w:sz="0" w:space="0" w:color="auto"/>
          </w:divBdr>
          <w:divsChild>
            <w:div w:id="550919734">
              <w:marLeft w:val="0"/>
              <w:marRight w:val="0"/>
              <w:marTop w:val="0"/>
              <w:marBottom w:val="0"/>
              <w:divBdr>
                <w:top w:val="none" w:sz="0" w:space="0" w:color="auto"/>
                <w:left w:val="none" w:sz="0" w:space="0" w:color="auto"/>
                <w:bottom w:val="none" w:sz="0" w:space="0" w:color="auto"/>
                <w:right w:val="none" w:sz="0" w:space="0" w:color="auto"/>
              </w:divBdr>
            </w:div>
            <w:div w:id="1811287393">
              <w:marLeft w:val="0"/>
              <w:marRight w:val="0"/>
              <w:marTop w:val="0"/>
              <w:marBottom w:val="0"/>
              <w:divBdr>
                <w:top w:val="none" w:sz="0" w:space="0" w:color="auto"/>
                <w:left w:val="none" w:sz="0" w:space="0" w:color="auto"/>
                <w:bottom w:val="none" w:sz="0" w:space="0" w:color="auto"/>
                <w:right w:val="none" w:sz="0" w:space="0" w:color="auto"/>
              </w:divBdr>
            </w:div>
            <w:div w:id="1239634690">
              <w:marLeft w:val="0"/>
              <w:marRight w:val="0"/>
              <w:marTop w:val="0"/>
              <w:marBottom w:val="0"/>
              <w:divBdr>
                <w:top w:val="none" w:sz="0" w:space="0" w:color="auto"/>
                <w:left w:val="none" w:sz="0" w:space="0" w:color="auto"/>
                <w:bottom w:val="none" w:sz="0" w:space="0" w:color="auto"/>
                <w:right w:val="none" w:sz="0" w:space="0" w:color="auto"/>
              </w:divBdr>
            </w:div>
            <w:div w:id="273562847">
              <w:marLeft w:val="0"/>
              <w:marRight w:val="0"/>
              <w:marTop w:val="0"/>
              <w:marBottom w:val="0"/>
              <w:divBdr>
                <w:top w:val="none" w:sz="0" w:space="0" w:color="auto"/>
                <w:left w:val="none" w:sz="0" w:space="0" w:color="auto"/>
                <w:bottom w:val="none" w:sz="0" w:space="0" w:color="auto"/>
                <w:right w:val="none" w:sz="0" w:space="0" w:color="auto"/>
              </w:divBdr>
            </w:div>
            <w:div w:id="1049960606">
              <w:marLeft w:val="0"/>
              <w:marRight w:val="0"/>
              <w:marTop w:val="0"/>
              <w:marBottom w:val="0"/>
              <w:divBdr>
                <w:top w:val="none" w:sz="0" w:space="0" w:color="auto"/>
                <w:left w:val="none" w:sz="0" w:space="0" w:color="auto"/>
                <w:bottom w:val="none" w:sz="0" w:space="0" w:color="auto"/>
                <w:right w:val="none" w:sz="0" w:space="0" w:color="auto"/>
              </w:divBdr>
            </w:div>
            <w:div w:id="1879203319">
              <w:marLeft w:val="0"/>
              <w:marRight w:val="0"/>
              <w:marTop w:val="0"/>
              <w:marBottom w:val="0"/>
              <w:divBdr>
                <w:top w:val="none" w:sz="0" w:space="0" w:color="auto"/>
                <w:left w:val="none" w:sz="0" w:space="0" w:color="auto"/>
                <w:bottom w:val="none" w:sz="0" w:space="0" w:color="auto"/>
                <w:right w:val="none" w:sz="0" w:space="0" w:color="auto"/>
              </w:divBdr>
            </w:div>
            <w:div w:id="2001155962">
              <w:marLeft w:val="0"/>
              <w:marRight w:val="0"/>
              <w:marTop w:val="0"/>
              <w:marBottom w:val="0"/>
              <w:divBdr>
                <w:top w:val="none" w:sz="0" w:space="0" w:color="auto"/>
                <w:left w:val="none" w:sz="0" w:space="0" w:color="auto"/>
                <w:bottom w:val="none" w:sz="0" w:space="0" w:color="auto"/>
                <w:right w:val="none" w:sz="0" w:space="0" w:color="auto"/>
              </w:divBdr>
            </w:div>
            <w:div w:id="1786924914">
              <w:marLeft w:val="0"/>
              <w:marRight w:val="0"/>
              <w:marTop w:val="0"/>
              <w:marBottom w:val="0"/>
              <w:divBdr>
                <w:top w:val="none" w:sz="0" w:space="0" w:color="auto"/>
                <w:left w:val="none" w:sz="0" w:space="0" w:color="auto"/>
                <w:bottom w:val="none" w:sz="0" w:space="0" w:color="auto"/>
                <w:right w:val="none" w:sz="0" w:space="0" w:color="auto"/>
              </w:divBdr>
            </w:div>
            <w:div w:id="1966884897">
              <w:marLeft w:val="0"/>
              <w:marRight w:val="0"/>
              <w:marTop w:val="0"/>
              <w:marBottom w:val="0"/>
              <w:divBdr>
                <w:top w:val="none" w:sz="0" w:space="0" w:color="auto"/>
                <w:left w:val="none" w:sz="0" w:space="0" w:color="auto"/>
                <w:bottom w:val="none" w:sz="0" w:space="0" w:color="auto"/>
                <w:right w:val="none" w:sz="0" w:space="0" w:color="auto"/>
              </w:divBdr>
            </w:div>
            <w:div w:id="714740269">
              <w:marLeft w:val="0"/>
              <w:marRight w:val="0"/>
              <w:marTop w:val="0"/>
              <w:marBottom w:val="0"/>
              <w:divBdr>
                <w:top w:val="none" w:sz="0" w:space="0" w:color="auto"/>
                <w:left w:val="none" w:sz="0" w:space="0" w:color="auto"/>
                <w:bottom w:val="none" w:sz="0" w:space="0" w:color="auto"/>
                <w:right w:val="none" w:sz="0" w:space="0" w:color="auto"/>
              </w:divBdr>
            </w:div>
            <w:div w:id="1332680693">
              <w:marLeft w:val="0"/>
              <w:marRight w:val="0"/>
              <w:marTop w:val="0"/>
              <w:marBottom w:val="0"/>
              <w:divBdr>
                <w:top w:val="none" w:sz="0" w:space="0" w:color="auto"/>
                <w:left w:val="none" w:sz="0" w:space="0" w:color="auto"/>
                <w:bottom w:val="none" w:sz="0" w:space="0" w:color="auto"/>
                <w:right w:val="none" w:sz="0" w:space="0" w:color="auto"/>
              </w:divBdr>
            </w:div>
            <w:div w:id="526869545">
              <w:marLeft w:val="0"/>
              <w:marRight w:val="0"/>
              <w:marTop w:val="0"/>
              <w:marBottom w:val="0"/>
              <w:divBdr>
                <w:top w:val="none" w:sz="0" w:space="0" w:color="auto"/>
                <w:left w:val="none" w:sz="0" w:space="0" w:color="auto"/>
                <w:bottom w:val="none" w:sz="0" w:space="0" w:color="auto"/>
                <w:right w:val="none" w:sz="0" w:space="0" w:color="auto"/>
              </w:divBdr>
            </w:div>
            <w:div w:id="299581678">
              <w:marLeft w:val="0"/>
              <w:marRight w:val="0"/>
              <w:marTop w:val="0"/>
              <w:marBottom w:val="0"/>
              <w:divBdr>
                <w:top w:val="none" w:sz="0" w:space="0" w:color="auto"/>
                <w:left w:val="none" w:sz="0" w:space="0" w:color="auto"/>
                <w:bottom w:val="none" w:sz="0" w:space="0" w:color="auto"/>
                <w:right w:val="none" w:sz="0" w:space="0" w:color="auto"/>
              </w:divBdr>
            </w:div>
            <w:div w:id="93324504">
              <w:marLeft w:val="0"/>
              <w:marRight w:val="0"/>
              <w:marTop w:val="0"/>
              <w:marBottom w:val="0"/>
              <w:divBdr>
                <w:top w:val="none" w:sz="0" w:space="0" w:color="auto"/>
                <w:left w:val="none" w:sz="0" w:space="0" w:color="auto"/>
                <w:bottom w:val="none" w:sz="0" w:space="0" w:color="auto"/>
                <w:right w:val="none" w:sz="0" w:space="0" w:color="auto"/>
              </w:divBdr>
            </w:div>
            <w:div w:id="1498494760">
              <w:marLeft w:val="0"/>
              <w:marRight w:val="0"/>
              <w:marTop w:val="0"/>
              <w:marBottom w:val="0"/>
              <w:divBdr>
                <w:top w:val="none" w:sz="0" w:space="0" w:color="auto"/>
                <w:left w:val="none" w:sz="0" w:space="0" w:color="auto"/>
                <w:bottom w:val="none" w:sz="0" w:space="0" w:color="auto"/>
                <w:right w:val="none" w:sz="0" w:space="0" w:color="auto"/>
              </w:divBdr>
            </w:div>
            <w:div w:id="4130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jure.org/gesetze/GG/103.html" TargetMode="External"/><Relationship Id="rId3" Type="http://schemas.openxmlformats.org/officeDocument/2006/relationships/webSettings" Target="webSettings.xml"/><Relationship Id="rId7" Type="http://schemas.openxmlformats.org/officeDocument/2006/relationships/hyperlink" Target="http://dejure.org/gesetze/StPO/153.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ejure.org/gesetze/StPO/261.html" TargetMode="External"/><Relationship Id="rId11" Type="http://schemas.openxmlformats.org/officeDocument/2006/relationships/theme" Target="theme/theme1.xml"/><Relationship Id="rId5" Type="http://schemas.openxmlformats.org/officeDocument/2006/relationships/hyperlink" Target="http://dejure.org/gesetze/GG/103.html" TargetMode="External"/><Relationship Id="rId10" Type="http://schemas.openxmlformats.org/officeDocument/2006/relationships/fontTable" Target="fontTable.xml"/><Relationship Id="rId4" Type="http://schemas.openxmlformats.org/officeDocument/2006/relationships/hyperlink" Target="http://www.juristischer-gedankensalat.de/juristen-latein" TargetMode="External"/><Relationship Id="rId9" Type="http://schemas.openxmlformats.org/officeDocument/2006/relationships/hyperlink" Target="http://dejure.org/gesetze/ZPO/138.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2467</Characters>
  <Application>Microsoft Office Word</Application>
  <DocSecurity>0</DocSecurity>
  <Lines>20</Lines>
  <Paragraphs>5</Paragraphs>
  <ScaleCrop>false</ScaleCrop>
  <Company/>
  <LinksUpToDate>false</LinksUpToDate>
  <CharactersWithSpaces>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2015-03-07T13:35:00Z</dcterms:created>
  <dcterms:modified xsi:type="dcterms:W3CDTF">2015-03-07T13:36:00Z</dcterms:modified>
</cp:coreProperties>
</file>