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08" w:rsidRPr="002324B6" w:rsidRDefault="00A812BC">
      <w:pPr>
        <w:rPr>
          <w:b/>
          <w:lang w:val="es-ES"/>
        </w:rPr>
      </w:pPr>
      <w:r w:rsidRPr="002324B6">
        <w:rPr>
          <w:b/>
          <w:lang w:val="es-ES"/>
        </w:rPr>
        <w:t>Jueces</w:t>
      </w:r>
      <w:r w:rsidR="002324B6">
        <w:rPr>
          <w:b/>
          <w:lang w:val="es-ES"/>
        </w:rPr>
        <w:t xml:space="preserve">  </w:t>
      </w:r>
      <w:proofErr w:type="spellStart"/>
      <w:r w:rsidR="002324B6">
        <w:rPr>
          <w:b/>
          <w:lang w:val="es-ES"/>
        </w:rPr>
        <w:t>Designacion</w:t>
      </w:r>
      <w:proofErr w:type="spellEnd"/>
      <w:r w:rsidR="002324B6">
        <w:rPr>
          <w:b/>
          <w:lang w:val="es-ES"/>
        </w:rPr>
        <w:t xml:space="preserve"> y </w:t>
      </w:r>
      <w:proofErr w:type="spellStart"/>
      <w:r w:rsidR="002324B6">
        <w:rPr>
          <w:b/>
          <w:lang w:val="es-ES"/>
        </w:rPr>
        <w:t>supervisio</w:t>
      </w:r>
      <w:r w:rsidRPr="002324B6">
        <w:rPr>
          <w:b/>
          <w:lang w:val="es-ES"/>
        </w:rPr>
        <w:t>n</w:t>
      </w:r>
      <w:proofErr w:type="spellEnd"/>
      <w:r w:rsidRPr="002324B6">
        <w:rPr>
          <w:b/>
          <w:lang w:val="es-ES"/>
        </w:rPr>
        <w:t xml:space="preserve">  Sistemas</w:t>
      </w:r>
    </w:p>
    <w:p w:rsidR="007D1A6E" w:rsidRDefault="007D1A6E">
      <w:pPr>
        <w:rPr>
          <w:lang w:val="es-ES"/>
        </w:rPr>
      </w:pPr>
      <w:proofErr w:type="spellStart"/>
      <w:r>
        <w:rPr>
          <w:lang w:val="es-ES"/>
        </w:rPr>
        <w:t>Fragm</w:t>
      </w:r>
      <w:proofErr w:type="spellEnd"/>
      <w:r>
        <w:rPr>
          <w:lang w:val="es-ES"/>
        </w:rPr>
        <w:t xml:space="preserve">.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Tesis de Benjamín C. Lira – ver </w:t>
      </w:r>
      <w:hyperlink r:id="rId4" w:history="1">
        <w:r w:rsidRPr="00D7351A">
          <w:rPr>
            <w:rStyle w:val="Hipervnculo"/>
            <w:lang w:val="es-ES"/>
          </w:rPr>
          <w:t>http://www.tesis.uchile.cl/bitstream/handle/2250/110964/de-Calidonio_b.pdf?sequence=1</w:t>
        </w:r>
      </w:hyperlink>
      <w:r>
        <w:rPr>
          <w:lang w:val="es-ES"/>
        </w:rPr>
        <w:t xml:space="preserve"> </w:t>
      </w:r>
      <w:r w:rsidR="004368F6">
        <w:rPr>
          <w:lang w:val="es-ES"/>
        </w:rPr>
        <w:t xml:space="preserve"> </w:t>
      </w:r>
      <w:r w:rsidR="004368F6" w:rsidRPr="002324B6">
        <w:rPr>
          <w:b/>
          <w:lang w:val="es-ES"/>
        </w:rPr>
        <w:t>Examina diversos sistemas y países</w:t>
      </w:r>
    </w:p>
    <w:p w:rsidR="00A812BC" w:rsidRPr="002324B6" w:rsidRDefault="00A812BC" w:rsidP="00A812BC">
      <w:pPr>
        <w:rPr>
          <w:b/>
          <w:lang w:val="es-ES"/>
        </w:rPr>
      </w:pPr>
      <w:r w:rsidRPr="002324B6">
        <w:rPr>
          <w:b/>
          <w:lang w:val="es-ES"/>
        </w:rPr>
        <w:t xml:space="preserve">DESIGNACIÓN HECHA POR EL PODER LEGISLATIVO. </w:t>
      </w:r>
    </w:p>
    <w:p w:rsidR="00A812BC" w:rsidRPr="00A812BC" w:rsidRDefault="00A812BC" w:rsidP="00A812BC">
      <w:pPr>
        <w:rPr>
          <w:lang w:val="es-ES"/>
        </w:rPr>
      </w:pPr>
      <w:r w:rsidRPr="00A812BC">
        <w:rPr>
          <w:lang w:val="es-ES"/>
        </w:rPr>
        <w:t xml:space="preserve">Por este mecanismo de nombramiento de jueces, se entrega al legislador la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facultad</w:t>
      </w:r>
      <w:proofErr w:type="gramEnd"/>
      <w:r w:rsidRPr="00A812BC">
        <w:rPr>
          <w:lang w:val="es-ES"/>
        </w:rPr>
        <w:t xml:space="preserve"> de proveer los cargos del Poder Judicial, también basado en el concepto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ideal</w:t>
      </w:r>
      <w:proofErr w:type="gramEnd"/>
      <w:r w:rsidRPr="00A812BC">
        <w:rPr>
          <w:lang w:val="es-ES"/>
        </w:rPr>
        <w:t xml:space="preserve"> de democracia, toda vez que es la ciudadanía que escoge al legislador, éste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aprovechando</w:t>
      </w:r>
      <w:proofErr w:type="gramEnd"/>
      <w:r w:rsidRPr="00A812BC">
        <w:rPr>
          <w:lang w:val="es-ES"/>
        </w:rPr>
        <w:t xml:space="preserve"> el mandato que el pueblo le entrega, procede a designar a las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personas</w:t>
      </w:r>
      <w:proofErr w:type="gramEnd"/>
      <w:r w:rsidRPr="00A812BC">
        <w:rPr>
          <w:lang w:val="es-ES"/>
        </w:rPr>
        <w:t xml:space="preserve"> que llenarán los cargos judiciales. Se dice que este sistema supera los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problemas</w:t>
      </w:r>
      <w:proofErr w:type="gramEnd"/>
      <w:r w:rsidRPr="00A812BC">
        <w:rPr>
          <w:lang w:val="es-ES"/>
        </w:rPr>
        <w:t xml:space="preserve"> del anterior por cuanto el legislador será más cuidadoso para nombrar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personas</w:t>
      </w:r>
      <w:proofErr w:type="gramEnd"/>
      <w:r w:rsidRPr="00A812BC">
        <w:rPr>
          <w:lang w:val="es-ES"/>
        </w:rPr>
        <w:t xml:space="preserve"> técnicamente mejor preparadas para desempeñarse como juez. Si bien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este</w:t>
      </w:r>
      <w:proofErr w:type="gramEnd"/>
      <w:r w:rsidRPr="00A812BC">
        <w:rPr>
          <w:lang w:val="es-ES"/>
        </w:rPr>
        <w:t xml:space="preserve"> es un punto a favor para este sistema con respecto al de elección popular,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también</w:t>
      </w:r>
      <w:proofErr w:type="gramEnd"/>
      <w:r w:rsidRPr="00A812BC">
        <w:rPr>
          <w:lang w:val="es-ES"/>
        </w:rPr>
        <w:t xml:space="preserve"> tiene el inconveniente de ser un método que viene a politizar de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sobremanera</w:t>
      </w:r>
      <w:proofErr w:type="gramEnd"/>
      <w:r w:rsidRPr="00A812BC">
        <w:rPr>
          <w:lang w:val="es-ES"/>
        </w:rPr>
        <w:t xml:space="preserve"> al Poder Judicial, y ya hemos señalado que labor del juez debe ser lo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más</w:t>
      </w:r>
      <w:proofErr w:type="gramEnd"/>
      <w:r w:rsidRPr="00A812BC">
        <w:rPr>
          <w:lang w:val="es-ES"/>
        </w:rPr>
        <w:t xml:space="preserve"> independiente e imparcial posible. </w:t>
      </w:r>
      <w:r w:rsidR="007D1A6E">
        <w:rPr>
          <w:lang w:val="es-ES"/>
        </w:rPr>
        <w:t xml:space="preserve"> </w:t>
      </w:r>
      <w:r w:rsidRPr="00A812BC">
        <w:rPr>
          <w:lang w:val="es-ES"/>
        </w:rPr>
        <w:t xml:space="preserve">También es un mecanismo de nombramiento que presenta inconvenientes por cuanto priva de autonomía al poder judicial, haciéndolo prácticamente un órgano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subordinado</w:t>
      </w:r>
      <w:proofErr w:type="gramEnd"/>
      <w:r w:rsidRPr="00A812BC">
        <w:rPr>
          <w:lang w:val="es-ES"/>
        </w:rPr>
        <w:t xml:space="preserve"> del legislativo. </w:t>
      </w:r>
      <w:r w:rsidR="007D1A6E">
        <w:rPr>
          <w:lang w:val="es-ES"/>
        </w:rPr>
        <w:t xml:space="preserve"> Antonio Riesco</w:t>
      </w:r>
      <w:r w:rsidRPr="00A812BC">
        <w:rPr>
          <w:lang w:val="es-ES"/>
        </w:rPr>
        <w:t xml:space="preserve"> escribió en su memoria que “este sistema tiene el grave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inconveniente</w:t>
      </w:r>
      <w:proofErr w:type="gramEnd"/>
      <w:r w:rsidRPr="00A812BC">
        <w:rPr>
          <w:lang w:val="es-ES"/>
        </w:rPr>
        <w:t xml:space="preserve"> de dar injerencia preponderante a los partidos políticos; son éstos los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que</w:t>
      </w:r>
      <w:proofErr w:type="gramEnd"/>
      <w:r w:rsidRPr="00A812BC">
        <w:rPr>
          <w:lang w:val="es-ES"/>
        </w:rPr>
        <w:t xml:space="preserve"> eligen al Ejecutivo y Legislativo y al contar con la mayoría, influyen en forma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decisiva</w:t>
      </w:r>
      <w:proofErr w:type="gramEnd"/>
      <w:r w:rsidRPr="00A812BC">
        <w:rPr>
          <w:lang w:val="es-ES"/>
        </w:rPr>
        <w:t xml:space="preserve">, y con carácter exclusivamente político, en las designaciones judiciales. </w:t>
      </w:r>
    </w:p>
    <w:p w:rsidR="00A812BC" w:rsidRPr="00A812BC" w:rsidRDefault="00A812BC" w:rsidP="00A812BC">
      <w:pPr>
        <w:rPr>
          <w:lang w:val="es-ES"/>
        </w:rPr>
      </w:pPr>
      <w:r w:rsidRPr="00A812BC">
        <w:rPr>
          <w:lang w:val="es-ES"/>
        </w:rPr>
        <w:t xml:space="preserve">Los sostenedores de este sistema hacen notar, por la inversa, que la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intervención</w:t>
      </w:r>
      <w:proofErr w:type="gramEnd"/>
      <w:r w:rsidRPr="00A812BC">
        <w:rPr>
          <w:lang w:val="es-ES"/>
        </w:rPr>
        <w:t xml:space="preserve"> de cuerpos colegiados numerosos y de diversas autoridades y </w:t>
      </w:r>
      <w:r w:rsidR="007D1A6E">
        <w:rPr>
          <w:lang w:val="es-ES"/>
        </w:rPr>
        <w:t xml:space="preserve"> </w:t>
      </w:r>
      <w:r w:rsidRPr="00A812BC">
        <w:rPr>
          <w:lang w:val="es-ES"/>
        </w:rPr>
        <w:t xml:space="preserve">corrientes políticas, proporcionan el medio más eficaz para obtener un personal </w:t>
      </w:r>
      <w:r w:rsidR="007D1A6E">
        <w:rPr>
          <w:lang w:val="es-ES"/>
        </w:rPr>
        <w:t xml:space="preserve"> </w:t>
      </w:r>
      <w:r w:rsidRPr="00A812BC">
        <w:rPr>
          <w:lang w:val="es-ES"/>
        </w:rPr>
        <w:t xml:space="preserve">seleccionado”. </w:t>
      </w:r>
      <w:r w:rsidRPr="00A812BC">
        <w:rPr>
          <w:lang w:val="es-ES"/>
        </w:rPr>
        <w:cr/>
        <w:t xml:space="preserve">Se aplica este sistema de designación para el nombramiento de los jueces del </w:t>
      </w:r>
    </w:p>
    <w:p w:rsidR="00A812BC" w:rsidRPr="00A812BC" w:rsidRDefault="00A812BC" w:rsidP="00A812BC">
      <w:pPr>
        <w:rPr>
          <w:lang w:val="es-ES"/>
        </w:rPr>
      </w:pPr>
      <w:r w:rsidRPr="00A812BC">
        <w:rPr>
          <w:lang w:val="es-ES"/>
        </w:rPr>
        <w:t xml:space="preserve">Tribunal Constitucional Federal alemán, tribunal en el que la mitad de sus miembros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son</w:t>
      </w:r>
      <w:proofErr w:type="gramEnd"/>
      <w:r w:rsidRPr="00A812BC">
        <w:rPr>
          <w:lang w:val="es-ES"/>
        </w:rPr>
        <w:t xml:space="preserve"> elegidos por el </w:t>
      </w:r>
      <w:proofErr w:type="spellStart"/>
      <w:r w:rsidRPr="00A812BC">
        <w:rPr>
          <w:lang w:val="es-ES"/>
        </w:rPr>
        <w:t>Bundestag</w:t>
      </w:r>
      <w:proofErr w:type="spellEnd"/>
      <w:r w:rsidRPr="00A812BC">
        <w:rPr>
          <w:lang w:val="es-ES"/>
        </w:rPr>
        <w:t xml:space="preserve"> (que equivale a la Cámara Baja del Parlamento), y la </w:t>
      </w:r>
    </w:p>
    <w:p w:rsidR="00A812BC" w:rsidRP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t>otra</w:t>
      </w:r>
      <w:proofErr w:type="gramEnd"/>
      <w:r w:rsidRPr="00A812BC">
        <w:rPr>
          <w:lang w:val="es-ES"/>
        </w:rPr>
        <w:t xml:space="preserve"> mitad la escoge el </w:t>
      </w:r>
      <w:proofErr w:type="spellStart"/>
      <w:r w:rsidRPr="00A812BC">
        <w:rPr>
          <w:lang w:val="es-ES"/>
        </w:rPr>
        <w:t>Bundesrat</w:t>
      </w:r>
      <w:proofErr w:type="spellEnd"/>
      <w:r w:rsidRPr="00A812BC">
        <w:rPr>
          <w:lang w:val="es-ES"/>
        </w:rPr>
        <w:t xml:space="preserve"> (Cámara Alta del Parlamento Alemán). Así </w:t>
      </w:r>
      <w:r w:rsidR="0028642D">
        <w:rPr>
          <w:lang w:val="es-ES"/>
        </w:rPr>
        <w:t xml:space="preserve"> </w:t>
      </w:r>
      <w:r w:rsidRPr="00A812BC">
        <w:rPr>
          <w:lang w:val="es-ES"/>
        </w:rPr>
        <w:t xml:space="preserve">lo </w:t>
      </w:r>
    </w:p>
    <w:p w:rsidR="00A812BC" w:rsidRDefault="00A812BC" w:rsidP="00A812BC">
      <w:pPr>
        <w:rPr>
          <w:lang w:val="es-ES"/>
        </w:rPr>
      </w:pPr>
      <w:proofErr w:type="gramStart"/>
      <w:r w:rsidRPr="00A812BC">
        <w:rPr>
          <w:lang w:val="es-ES"/>
        </w:rPr>
        <w:lastRenderedPageBreak/>
        <w:t>establece</w:t>
      </w:r>
      <w:proofErr w:type="gramEnd"/>
      <w:r w:rsidRPr="00A812BC">
        <w:rPr>
          <w:lang w:val="es-ES"/>
        </w:rPr>
        <w:t xml:space="preserve"> el artículo 94 de la Ley Fundamen</w:t>
      </w:r>
      <w:r w:rsidR="0028642D">
        <w:rPr>
          <w:lang w:val="es-ES"/>
        </w:rPr>
        <w:t xml:space="preserve">tal de la República Federal de </w:t>
      </w:r>
      <w:r w:rsidRPr="00A812BC">
        <w:rPr>
          <w:lang w:val="es-ES"/>
        </w:rPr>
        <w:t xml:space="preserve">Alemania. </w:t>
      </w:r>
      <w:r w:rsidR="006C4803">
        <w:rPr>
          <w:lang w:val="es-ES"/>
        </w:rPr>
        <w:t>...</w:t>
      </w:r>
      <w:r w:rsidRPr="00A812BC">
        <w:rPr>
          <w:lang w:val="es-ES"/>
        </w:rPr>
        <w:cr/>
      </w:r>
    </w:p>
    <w:p w:rsidR="00B65409" w:rsidRPr="00B65409" w:rsidRDefault="00B65409" w:rsidP="00B65409">
      <w:pPr>
        <w:rPr>
          <w:lang w:val="es-ES"/>
        </w:rPr>
      </w:pPr>
      <w:r w:rsidRPr="00B65409">
        <w:rPr>
          <w:lang w:val="es-ES"/>
        </w:rPr>
        <w:t xml:space="preserve">DESIGNACIÓN HECHA EN BASE A SISTEMAS MIXTOS. </w:t>
      </w:r>
    </w:p>
    <w:p w:rsidR="00B65409" w:rsidRPr="00B65409" w:rsidRDefault="00B65409" w:rsidP="00B65409">
      <w:pPr>
        <w:rPr>
          <w:lang w:val="es-ES"/>
        </w:rPr>
      </w:pPr>
      <w:r w:rsidRPr="00B65409">
        <w:rPr>
          <w:lang w:val="es-ES"/>
        </w:rPr>
        <w:t xml:space="preserve">Atendiendo a las desventajas que presentan los sistemas analizados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anteriormente</w:t>
      </w:r>
      <w:proofErr w:type="gramEnd"/>
      <w:r w:rsidRPr="00B65409">
        <w:rPr>
          <w:lang w:val="es-ES"/>
        </w:rPr>
        <w:t xml:space="preserve">, es que muchos de los Estados Modernos han </w:t>
      </w:r>
      <w:proofErr w:type="spellStart"/>
      <w:r w:rsidRPr="00B65409">
        <w:rPr>
          <w:lang w:val="es-ES"/>
        </w:rPr>
        <w:t>optadopor</w:t>
      </w:r>
      <w:proofErr w:type="spellEnd"/>
      <w:r w:rsidRPr="00B65409">
        <w:rPr>
          <w:lang w:val="es-ES"/>
        </w:rPr>
        <w:t xml:space="preserve"> una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combinación</w:t>
      </w:r>
      <w:proofErr w:type="gramEnd"/>
      <w:r w:rsidRPr="00B65409">
        <w:rPr>
          <w:lang w:val="es-ES"/>
        </w:rPr>
        <w:t xml:space="preserve"> entre los métodos señalados. Instaurándose así, mecanismos en los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cuales</w:t>
      </w:r>
      <w:proofErr w:type="gramEnd"/>
      <w:r w:rsidRPr="00B65409">
        <w:rPr>
          <w:lang w:val="es-ES"/>
        </w:rPr>
        <w:t xml:space="preserve"> los poderes del estado se combinan para proceder a llenar los cargos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judiciales</w:t>
      </w:r>
      <w:proofErr w:type="gramEnd"/>
      <w:r w:rsidRPr="00B65409">
        <w:rPr>
          <w:lang w:val="es-ES"/>
        </w:rPr>
        <w:t xml:space="preserve">, de modo que se aprovechen las ventajas de todos los sistemas y se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genere</w:t>
      </w:r>
      <w:proofErr w:type="gramEnd"/>
      <w:r w:rsidRPr="00B65409">
        <w:rPr>
          <w:lang w:val="es-ES"/>
        </w:rPr>
        <w:t xml:space="preserve"> contrapeso entre cada uno de los Poderes del Estado, evitando que se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produzcan</w:t>
      </w:r>
      <w:proofErr w:type="gramEnd"/>
      <w:r w:rsidRPr="00B65409">
        <w:rPr>
          <w:lang w:val="es-ES"/>
        </w:rPr>
        <w:t xml:space="preserve"> abusos en los nombramientos. </w:t>
      </w:r>
    </w:p>
    <w:p w:rsidR="00B65409" w:rsidRPr="00B65409" w:rsidRDefault="00B65409" w:rsidP="00B65409">
      <w:pPr>
        <w:rPr>
          <w:lang w:val="es-ES"/>
        </w:rPr>
      </w:pPr>
      <w:r>
        <w:rPr>
          <w:lang w:val="es-ES"/>
        </w:rPr>
        <w:t xml:space="preserve"> </w:t>
      </w:r>
      <w:r w:rsidRPr="00B65409">
        <w:rPr>
          <w:lang w:val="es-ES"/>
        </w:rPr>
        <w:t xml:space="preserve">Juan Emilio Bianchi34 señaló que “estos sistemas combinados o mixtos tienen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la</w:t>
      </w:r>
      <w:proofErr w:type="gramEnd"/>
      <w:r w:rsidRPr="00B65409">
        <w:rPr>
          <w:lang w:val="es-ES"/>
        </w:rPr>
        <w:t xml:space="preserve"> ventaja de impedir que se reúna en un solo organismo o poder público, el máximo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de</w:t>
      </w:r>
      <w:proofErr w:type="gramEnd"/>
      <w:r w:rsidRPr="00B65409">
        <w:rPr>
          <w:lang w:val="es-ES"/>
        </w:rPr>
        <w:t xml:space="preserve"> atribuciones para interferir e intervenir en la composición de otro poder público,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como</w:t>
      </w:r>
      <w:proofErr w:type="gramEnd"/>
      <w:r w:rsidRPr="00B65409">
        <w:rPr>
          <w:lang w:val="es-ES"/>
        </w:rPr>
        <w:t xml:space="preserve"> es el judicial. Se obliga así a que por fuerza deban los miembros de un poder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entrar</w:t>
      </w:r>
      <w:proofErr w:type="gramEnd"/>
      <w:r w:rsidRPr="00B65409">
        <w:rPr>
          <w:lang w:val="es-ES"/>
        </w:rPr>
        <w:t xml:space="preserve"> en contacto con los de otro poder, contactos altamente ventajosos para la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buena</w:t>
      </w:r>
      <w:proofErr w:type="gramEnd"/>
      <w:r w:rsidRPr="00B65409">
        <w:rPr>
          <w:lang w:val="es-ES"/>
        </w:rPr>
        <w:t xml:space="preserve"> marcha de las actividades públicas, ya que así el país se libera de la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verdadera</w:t>
      </w:r>
      <w:proofErr w:type="gramEnd"/>
      <w:r w:rsidRPr="00B65409">
        <w:rPr>
          <w:lang w:val="es-ES"/>
        </w:rPr>
        <w:t xml:space="preserve"> tiranía que significa que una sola persona o un solo organismo reúna en </w:t>
      </w:r>
    </w:p>
    <w:p w:rsidR="00B65409" w:rsidRP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sus</w:t>
      </w:r>
      <w:proofErr w:type="gramEnd"/>
      <w:r w:rsidRPr="00B65409">
        <w:rPr>
          <w:lang w:val="es-ES"/>
        </w:rPr>
        <w:t xml:space="preserve"> manos un conjunto de facultades que puede llegar a ser nefasta para la </w:t>
      </w:r>
    </w:p>
    <w:p w:rsidR="00B65409" w:rsidRDefault="00B65409" w:rsidP="00B65409">
      <w:pPr>
        <w:rPr>
          <w:lang w:val="es-ES"/>
        </w:rPr>
      </w:pPr>
      <w:proofErr w:type="gramStart"/>
      <w:r w:rsidRPr="00B65409">
        <w:rPr>
          <w:lang w:val="es-ES"/>
        </w:rPr>
        <w:t>colectividad</w:t>
      </w:r>
      <w:proofErr w:type="gramEnd"/>
      <w:r w:rsidRPr="00B65409">
        <w:rPr>
          <w:lang w:val="es-ES"/>
        </w:rPr>
        <w:t xml:space="preserve">”. </w:t>
      </w:r>
      <w:r w:rsidRPr="00B65409">
        <w:rPr>
          <w:lang w:val="es-ES"/>
        </w:rPr>
        <w:cr/>
      </w:r>
    </w:p>
    <w:p w:rsidR="006C4803" w:rsidRPr="00281236" w:rsidRDefault="006C4803" w:rsidP="006C4803">
      <w:pPr>
        <w:rPr>
          <w:b/>
          <w:lang w:val="es-ES"/>
        </w:rPr>
      </w:pPr>
      <w:r w:rsidRPr="00281236">
        <w:rPr>
          <w:b/>
          <w:lang w:val="es-ES"/>
        </w:rPr>
        <w:t xml:space="preserve">Aplicación en Argentina.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Los magistrados de la Corte Suprema de Argentina son nombrados por el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Presidente de la Nación con acuerdo de los dos tercios de los miembros presentes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del</w:t>
      </w:r>
      <w:proofErr w:type="gramEnd"/>
      <w:r w:rsidRPr="006C4803">
        <w:rPr>
          <w:lang w:val="es-ES"/>
        </w:rPr>
        <w:t xml:space="preserve"> Senado, en sesión pública convocada al efecto. Lo anterior se consagra entre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las</w:t>
      </w:r>
      <w:proofErr w:type="gramEnd"/>
      <w:r w:rsidRPr="006C4803">
        <w:rPr>
          <w:lang w:val="es-ES"/>
        </w:rPr>
        <w:t xml:space="preserve"> atribuciones del Presidente de la Nación, señaladas en el artículo 99 Nº4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Constitución de la Nación. La reforma constitucional de 1994 deja establecido que los integrantes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lastRenderedPageBreak/>
        <w:t xml:space="preserve">Corte Suprema serán los únicos magistrados que se nombran exclusivamente por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los</w:t>
      </w:r>
      <w:proofErr w:type="gramEnd"/>
      <w:r w:rsidRPr="006C4803">
        <w:rPr>
          <w:lang w:val="es-ES"/>
        </w:rPr>
        <w:t xml:space="preserve"> poderes políticos y sin la intervención del Consejo de la Magistratura. También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determina</w:t>
      </w:r>
      <w:proofErr w:type="gramEnd"/>
      <w:r w:rsidRPr="006C4803">
        <w:rPr>
          <w:lang w:val="es-ES"/>
        </w:rPr>
        <w:t xml:space="preserve"> una mayoría agravada para el acuerdo que debe prestar el Senado, que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debe</w:t>
      </w:r>
      <w:proofErr w:type="gramEnd"/>
      <w:r w:rsidRPr="006C4803">
        <w:rPr>
          <w:lang w:val="es-ES"/>
        </w:rPr>
        <w:t xml:space="preserve"> obligatoriamente ser discutido en sesión pública. O sea, los miembros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Corte se designan por el Ejecutivo, con acuerdo del Senado, en sesión pública y por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mayoría</w:t>
      </w:r>
      <w:proofErr w:type="gramEnd"/>
      <w:r w:rsidRPr="006C4803">
        <w:rPr>
          <w:lang w:val="es-ES"/>
        </w:rPr>
        <w:t xml:space="preserve"> de los dos tercios presente (art. 99, inc. 4º).</w:t>
      </w:r>
      <w:r w:rsidR="00281236">
        <w:rPr>
          <w:lang w:val="es-ES"/>
        </w:rPr>
        <w:t xml:space="preserve"> </w:t>
      </w:r>
      <w:r w:rsidRPr="006C4803">
        <w:rPr>
          <w:lang w:val="es-ES"/>
        </w:rPr>
        <w:t xml:space="preserve">Para ser miembro de la Corte Suprema, el artículo 111 de la Constitución exige ser abogado de la Nación con ocho años de ejercicio, y tener las calidades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requeridas</w:t>
      </w:r>
      <w:proofErr w:type="gramEnd"/>
      <w:r w:rsidRPr="006C4803">
        <w:rPr>
          <w:lang w:val="es-ES"/>
        </w:rPr>
        <w:t xml:space="preserve"> para ser Senador, los cuales </w:t>
      </w:r>
      <w:proofErr w:type="spellStart"/>
      <w:r w:rsidRPr="006C4803">
        <w:rPr>
          <w:lang w:val="es-ES"/>
        </w:rPr>
        <w:t>son:tener</w:t>
      </w:r>
      <w:proofErr w:type="spellEnd"/>
      <w:r w:rsidRPr="006C4803">
        <w:rPr>
          <w:lang w:val="es-ES"/>
        </w:rPr>
        <w:t xml:space="preserve"> treinta años de edad, haber sido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seis</w:t>
      </w:r>
      <w:proofErr w:type="gramEnd"/>
      <w:r w:rsidRPr="006C4803">
        <w:rPr>
          <w:lang w:val="es-ES"/>
        </w:rPr>
        <w:t xml:space="preserve"> años ciudadano de la Nación y disfrutar de una renta anual de dos mil pesos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fuertes</w:t>
      </w:r>
      <w:proofErr w:type="gramEnd"/>
      <w:r w:rsidRPr="006C4803">
        <w:rPr>
          <w:lang w:val="es-ES"/>
        </w:rPr>
        <w:t xml:space="preserve"> o de una entrada equivalente (Constitución de la Nación, art. 55).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Respecto de los tribunales federales inferiores, los magistrados se nombran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por</w:t>
      </w:r>
      <w:proofErr w:type="gramEnd"/>
      <w:r w:rsidRPr="006C4803">
        <w:rPr>
          <w:lang w:val="es-ES"/>
        </w:rPr>
        <w:t xml:space="preserve"> el Presidente en base a una propuesta vinculante en terna del Consejo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Magistratura, con acuerdo del Senado, en sesión pública, en la que se tendrá en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cuenta</w:t>
      </w:r>
      <w:proofErr w:type="gramEnd"/>
      <w:r w:rsidRPr="006C4803">
        <w:rPr>
          <w:lang w:val="es-ES"/>
        </w:rPr>
        <w:t xml:space="preserve"> la idoneidad de los candidatos. Así lo establece el artículo 99 Nº 4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Constitución.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Este Consejo de la Magistratura es un órgano permanente del Poder Judicial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al</w:t>
      </w:r>
      <w:proofErr w:type="gramEnd"/>
      <w:r w:rsidRPr="006C4803">
        <w:rPr>
          <w:lang w:val="es-ES"/>
        </w:rPr>
        <w:t xml:space="preserve"> cual la Constitución Argentina (art. 14) encarga la potestad de seleccionar a los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magistrados</w:t>
      </w:r>
      <w:proofErr w:type="gramEnd"/>
      <w:r w:rsidRPr="006C4803">
        <w:rPr>
          <w:lang w:val="es-ES"/>
        </w:rPr>
        <w:t xml:space="preserve"> que integrarán el Poder Judicial (con excepción de los miembros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Corte Suprema, como ya vimos) y la administración del Poder Judicial.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No obstante ser un órgano del Poder Judicial, en la composición del Consejo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de</w:t>
      </w:r>
      <w:proofErr w:type="gramEnd"/>
      <w:r w:rsidRPr="006C4803">
        <w:rPr>
          <w:lang w:val="es-ES"/>
        </w:rPr>
        <w:t xml:space="preserve"> la Magistratura intervienen los otros poderes del Estado, ya que de acuerdo al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artículo</w:t>
      </w:r>
      <w:proofErr w:type="gramEnd"/>
      <w:r w:rsidRPr="006C4803">
        <w:rPr>
          <w:lang w:val="es-ES"/>
        </w:rPr>
        <w:t xml:space="preserve"> 2º de la Ley del Consejo de la Magistratura, éste está integrado por trece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miembros</w:t>
      </w:r>
      <w:proofErr w:type="gramEnd"/>
      <w:r w:rsidRPr="006C4803">
        <w:rPr>
          <w:lang w:val="es-ES"/>
        </w:rPr>
        <w:t xml:space="preserve">: tres jueces del Poder Judicial de la Nación; seis legisladores; dos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proofErr w:type="gramStart"/>
      <w:r w:rsidR="006C4803" w:rsidRPr="006C4803">
        <w:rPr>
          <w:lang w:val="es-ES"/>
        </w:rPr>
        <w:t>representantes</w:t>
      </w:r>
      <w:proofErr w:type="gramEnd"/>
      <w:r w:rsidR="006C4803" w:rsidRPr="006C4803">
        <w:rPr>
          <w:lang w:val="es-ES"/>
        </w:rPr>
        <w:t xml:space="preserve"> de los abogados de la matrícula federal; un representante del Poder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Ejecutivo; y un representante del ámbito académico y científico.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 Entre las funciones del Consejo de la Magistratura están la de organizar el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lastRenderedPageBreak/>
        <w:t>funcionamiento</w:t>
      </w:r>
      <w:proofErr w:type="gramEnd"/>
      <w:r w:rsidRPr="006C4803">
        <w:rPr>
          <w:lang w:val="es-ES"/>
        </w:rPr>
        <w:t xml:space="preserve"> de la Escuela Judicial, dictar su reglamento y aprobar sus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programas</w:t>
      </w:r>
      <w:proofErr w:type="gramEnd"/>
      <w:r w:rsidRPr="006C4803">
        <w:rPr>
          <w:lang w:val="es-ES"/>
        </w:rPr>
        <w:t xml:space="preserve"> de estudio. Además, es de su competencia llamar a concurso público </w:t>
      </w:r>
    </w:p>
    <w:p w:rsidR="006C4803" w:rsidRPr="006C4803" w:rsidRDefault="006C4803" w:rsidP="006C4803">
      <w:pPr>
        <w:rPr>
          <w:lang w:val="es-ES"/>
        </w:rPr>
      </w:pPr>
      <w:proofErr w:type="spellStart"/>
      <w:proofErr w:type="gramStart"/>
      <w:r w:rsidRPr="006C4803">
        <w:rPr>
          <w:lang w:val="es-ES"/>
        </w:rPr>
        <w:t>deoposición</w:t>
      </w:r>
      <w:proofErr w:type="spellEnd"/>
      <w:proofErr w:type="gramEnd"/>
      <w:r w:rsidRPr="006C4803">
        <w:rPr>
          <w:lang w:val="es-ES"/>
        </w:rPr>
        <w:t xml:space="preserve"> y antecedentes para cubrir las vacantes de magistrados judiciales,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sustanciar</w:t>
      </w:r>
      <w:proofErr w:type="gramEnd"/>
      <w:r w:rsidRPr="006C4803">
        <w:rPr>
          <w:lang w:val="es-ES"/>
        </w:rPr>
        <w:t xml:space="preserve"> los concursos, designar jurados, evaluar antecedentes de aspirantes y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confeccionar</w:t>
      </w:r>
      <w:proofErr w:type="gramEnd"/>
      <w:r w:rsidRPr="006C4803">
        <w:rPr>
          <w:lang w:val="es-ES"/>
        </w:rPr>
        <w:t xml:space="preserve"> las propuestas de ternas elevándolas al plenario </w:t>
      </w:r>
      <w:proofErr w:type="spellStart"/>
      <w:r w:rsidRPr="006C4803">
        <w:rPr>
          <w:lang w:val="es-ES"/>
        </w:rPr>
        <w:t>delConsejo</w:t>
      </w:r>
      <w:proofErr w:type="spellEnd"/>
      <w:r w:rsidRPr="006C4803">
        <w:rPr>
          <w:lang w:val="es-ES"/>
        </w:rPr>
        <w:t xml:space="preserve"> remitirá al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Ejecutivo. Todo de acuerdo a lo dispuesto en el artículo 7º de la Ley del Consejo de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la</w:t>
      </w:r>
      <w:proofErr w:type="gramEnd"/>
      <w:r w:rsidRPr="006C4803">
        <w:rPr>
          <w:lang w:val="es-ES"/>
        </w:rPr>
        <w:t xml:space="preserve"> Magistratura.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La Nación Argentina adopta un sistema de gobierno federal, por lo que cada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una</w:t>
      </w:r>
      <w:proofErr w:type="gramEnd"/>
      <w:r w:rsidRPr="006C4803">
        <w:rPr>
          <w:lang w:val="es-ES"/>
        </w:rPr>
        <w:t xml:space="preserve"> de las provincias posee su propia organización judicial aplicable a los asuntos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que</w:t>
      </w:r>
      <w:proofErr w:type="gramEnd"/>
      <w:r w:rsidRPr="006C4803">
        <w:rPr>
          <w:lang w:val="es-ES"/>
        </w:rPr>
        <w:t xml:space="preserve"> son de competencia provincial. Revisaremos a continuación la legislación que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regula</w:t>
      </w:r>
      <w:proofErr w:type="gramEnd"/>
      <w:r w:rsidRPr="006C4803">
        <w:rPr>
          <w:lang w:val="es-ES"/>
        </w:rPr>
        <w:t xml:space="preserve"> esta materia en las provincias más importantes de Argentina.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La Constitución de la Provincia de Buenos Aires al regular el sistema de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designación</w:t>
      </w:r>
      <w:proofErr w:type="gramEnd"/>
      <w:r w:rsidRPr="006C4803">
        <w:rPr>
          <w:lang w:val="es-ES"/>
        </w:rPr>
        <w:t xml:space="preserve"> de jueces, adopta la misma regla que la Constitución de la nación, toda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vez</w:t>
      </w:r>
      <w:proofErr w:type="gramEnd"/>
      <w:r w:rsidRPr="006C4803">
        <w:rPr>
          <w:lang w:val="es-ES"/>
        </w:rPr>
        <w:t xml:space="preserve"> que los jueces de la Suprema Corte de Justicia de la Provincia de Buenos Aires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son</w:t>
      </w:r>
      <w:proofErr w:type="gramEnd"/>
      <w:r w:rsidRPr="006C4803">
        <w:rPr>
          <w:lang w:val="es-ES"/>
        </w:rPr>
        <w:t xml:space="preserve"> designados por el Poder Ejecutivo, con acuerdo del Senado, otorgado en sesión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pública</w:t>
      </w:r>
      <w:proofErr w:type="gramEnd"/>
      <w:r w:rsidRPr="006C4803">
        <w:rPr>
          <w:lang w:val="es-ES"/>
        </w:rPr>
        <w:t xml:space="preserve"> por mayoría absoluta de sus miembros. Los demás jueces son designados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por</w:t>
      </w:r>
      <w:proofErr w:type="gramEnd"/>
      <w:r w:rsidRPr="006C4803">
        <w:rPr>
          <w:lang w:val="es-ES"/>
        </w:rPr>
        <w:t xml:space="preserve"> el Poder Ejecutivo, de una terna vinculante propuesta por el Consejo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Magistratura, con acuerdo del Senado otorgado en sesión pública. Aclaremos que el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Ejecutivo en este caso corresponde el Gobernador de la Provincia. Así lo dispone el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artículo</w:t>
      </w:r>
      <w:proofErr w:type="gramEnd"/>
      <w:r w:rsidRPr="006C4803">
        <w:rPr>
          <w:lang w:val="es-ES"/>
        </w:rPr>
        <w:t xml:space="preserve"> 175 de la Constitución de la Provincia de Buenos Aires.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La Constitución de la Provincia de Córdoba, en su artículo 144 Nº9, también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establece</w:t>
      </w:r>
      <w:proofErr w:type="gramEnd"/>
      <w:r w:rsidRPr="006C4803">
        <w:rPr>
          <w:lang w:val="es-ES"/>
        </w:rPr>
        <w:t xml:space="preserve"> un sistema mixto, encargándole al Gobernador la facultad de designar,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con</w:t>
      </w:r>
      <w:proofErr w:type="gramEnd"/>
      <w:r w:rsidRPr="006C4803">
        <w:rPr>
          <w:lang w:val="es-ES"/>
        </w:rPr>
        <w:t xml:space="preserve"> previo acuerdo del Senado, a los miembros de tribunal Superior de Justicia y de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los</w:t>
      </w:r>
      <w:proofErr w:type="gramEnd"/>
      <w:r w:rsidRPr="006C4803">
        <w:rPr>
          <w:lang w:val="es-ES"/>
        </w:rPr>
        <w:t xml:space="preserve"> demás tribunales inferiores.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 </w:t>
      </w:r>
      <w:r w:rsidR="006C4803" w:rsidRPr="006C4803">
        <w:rPr>
          <w:lang w:val="es-ES"/>
        </w:rPr>
        <w:t xml:space="preserve">El artículo 158 de esta Constitución ordena que para ser miembro del Tribunal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Superior de Justicia se requiere tener doce años de ejercicio de la abogacía o de la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lastRenderedPageBreak/>
        <w:t>magistratura</w:t>
      </w:r>
      <w:proofErr w:type="gramEnd"/>
      <w:r w:rsidRPr="006C4803">
        <w:rPr>
          <w:lang w:val="es-ES"/>
        </w:rPr>
        <w:t xml:space="preserve">, para Vocal de Cámara ocho, para Juez seis y para Asesor Letrado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cuatro</w:t>
      </w:r>
      <w:proofErr w:type="gramEnd"/>
      <w:r w:rsidRPr="006C4803">
        <w:rPr>
          <w:lang w:val="es-ES"/>
        </w:rPr>
        <w:t xml:space="preserve">. En todos los casos, ciudadanía en ejercicio, treinta años de edad para los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miembros</w:t>
      </w:r>
      <w:proofErr w:type="gramEnd"/>
      <w:r w:rsidRPr="006C4803">
        <w:rPr>
          <w:lang w:val="es-ES"/>
        </w:rPr>
        <w:t xml:space="preserve"> del Tribunal Superior de Justicia y veinticinco para los restantes. </w:t>
      </w:r>
    </w:p>
    <w:p w:rsidR="006C4803" w:rsidRPr="006C4803" w:rsidRDefault="00281236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En la Provincia de Santa Fe, el artículo 86 de la Constitución prescribe que los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miembros</w:t>
      </w:r>
      <w:proofErr w:type="gramEnd"/>
      <w:r w:rsidRPr="006C4803">
        <w:rPr>
          <w:lang w:val="es-ES"/>
        </w:rPr>
        <w:t xml:space="preserve"> de la Corte Suprema de Justicia, los vocales de las cámaras de apelación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y</w:t>
      </w:r>
      <w:proofErr w:type="gramEnd"/>
      <w:r w:rsidRPr="006C4803">
        <w:rPr>
          <w:lang w:val="es-ES"/>
        </w:rPr>
        <w:t xml:space="preserve"> los jueces de primera instancia son designados por el Poder Ejecutivo con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acuerdo</w:t>
      </w:r>
      <w:proofErr w:type="gramEnd"/>
      <w:r w:rsidRPr="006C4803">
        <w:rPr>
          <w:lang w:val="es-ES"/>
        </w:rPr>
        <w:t xml:space="preserve"> de la Asamblea Legislativa. Por su parte, el artículo 85 de la misma norma establece que para ser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miembro</w:t>
      </w:r>
      <w:proofErr w:type="gramEnd"/>
      <w:r w:rsidRPr="006C4803">
        <w:rPr>
          <w:lang w:val="es-ES"/>
        </w:rPr>
        <w:t xml:space="preserve"> de la Corte Suprema de Justicia, vocal o fiscal de las cámaras de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apelación</w:t>
      </w:r>
      <w:proofErr w:type="gramEnd"/>
      <w:r w:rsidRPr="006C4803">
        <w:rPr>
          <w:lang w:val="es-ES"/>
        </w:rPr>
        <w:t xml:space="preserve"> se requiere ser ciudadano argentino, poseer título de abogado y tener, por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lo</w:t>
      </w:r>
      <w:proofErr w:type="gramEnd"/>
      <w:r w:rsidRPr="006C4803">
        <w:rPr>
          <w:lang w:val="es-ES"/>
        </w:rPr>
        <w:t xml:space="preserve"> menos, treinta años de edad, diez de ejercicio de la profesión de abogado o de la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magistratura</w:t>
      </w:r>
      <w:proofErr w:type="gramEnd"/>
      <w:r w:rsidRPr="006C4803">
        <w:rPr>
          <w:lang w:val="es-ES"/>
        </w:rPr>
        <w:t xml:space="preserve"> y dos años de residencia inmediata en la Provincia si no hubiere nacido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en</w:t>
      </w:r>
      <w:proofErr w:type="gramEnd"/>
      <w:r w:rsidRPr="006C4803">
        <w:rPr>
          <w:lang w:val="es-ES"/>
        </w:rPr>
        <w:t xml:space="preserve"> ésta. </w:t>
      </w:r>
    </w:p>
    <w:p w:rsidR="006C4803" w:rsidRPr="006C4803" w:rsidRDefault="00A53C14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Para ser juez de primera instancia se requiere ser ciudadano argentino,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poseer</w:t>
      </w:r>
      <w:proofErr w:type="gramEnd"/>
      <w:r w:rsidRPr="006C4803">
        <w:rPr>
          <w:lang w:val="es-ES"/>
        </w:rPr>
        <w:t xml:space="preserve"> título de abogado y tener, por lo menos veinticinco años de edad, cuatro de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ejercicio</w:t>
      </w:r>
      <w:proofErr w:type="gramEnd"/>
      <w:r w:rsidRPr="006C4803">
        <w:rPr>
          <w:lang w:val="es-ES"/>
        </w:rPr>
        <w:t xml:space="preserve"> de la profesión o de la función judicial como magistrado o funcionario y dos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años</w:t>
      </w:r>
      <w:proofErr w:type="gramEnd"/>
      <w:r w:rsidRPr="006C4803">
        <w:rPr>
          <w:lang w:val="es-ES"/>
        </w:rPr>
        <w:t xml:space="preserve"> de residencia inmediata en la Provincia si no hubiere nacido en ésta. </w:t>
      </w:r>
    </w:p>
    <w:p w:rsidR="006C4803" w:rsidRPr="006C4803" w:rsidRDefault="00A53C14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Sigue la misma regla la Constitución de Mendoza al señalar, en su artículo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150, que los miembros de la suprema corte de justicia y su procurador general,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serán</w:t>
      </w:r>
      <w:proofErr w:type="gramEnd"/>
      <w:r w:rsidRPr="006C4803">
        <w:rPr>
          <w:lang w:val="es-ES"/>
        </w:rPr>
        <w:t xml:space="preserve"> nombrados por el poder ejecutivo con el acuerdo del senado. Los jueces de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los</w:t>
      </w:r>
      <w:proofErr w:type="gramEnd"/>
      <w:r w:rsidRPr="006C4803">
        <w:rPr>
          <w:lang w:val="es-ES"/>
        </w:rPr>
        <w:t xml:space="preserve"> tribunales inferiores y los representantes del Ministerio Público, serán propuestos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por</w:t>
      </w:r>
      <w:proofErr w:type="gramEnd"/>
      <w:r w:rsidRPr="006C4803">
        <w:rPr>
          <w:lang w:val="es-ES"/>
        </w:rPr>
        <w:t xml:space="preserve"> el consejo de la magistratura al poder ejecutivo y designados por este con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acuerdo</w:t>
      </w:r>
      <w:proofErr w:type="gramEnd"/>
      <w:r w:rsidRPr="006C4803">
        <w:rPr>
          <w:lang w:val="es-ES"/>
        </w:rPr>
        <w:t xml:space="preserve"> del Senado. El artículo 152 de esta Constitución indica que para ser miembro de la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Suprema Corte y procurador de ella se requiere: 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1. Haber nacido en territorio argentino o ser hijos de padres nativos, habiendo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optado</w:t>
      </w:r>
      <w:proofErr w:type="gramEnd"/>
      <w:r w:rsidRPr="006C4803">
        <w:rPr>
          <w:lang w:val="es-ES"/>
        </w:rPr>
        <w:t xml:space="preserve"> por la ciudadanía de sus padres, si hubiere nacido en territorio extranjero.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2. Haber cumplido 30 años de edad y no tener más de 70.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lastRenderedPageBreak/>
        <w:t xml:space="preserve">3. Ser abogado con título de universidad nacional y con 10 años de ejercicio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de</w:t>
      </w:r>
      <w:proofErr w:type="gramEnd"/>
      <w:r w:rsidRPr="006C4803">
        <w:rPr>
          <w:lang w:val="es-ES"/>
        </w:rPr>
        <w:t xml:space="preserve"> la profesión u 8 de magistratura. </w:t>
      </w:r>
    </w:p>
    <w:p w:rsidR="006C4803" w:rsidRPr="006C4803" w:rsidRDefault="00A53C14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Mientras para ser miembro de las Cámaras de apelaciones, de los tribunales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colegiados</w:t>
      </w:r>
      <w:proofErr w:type="gramEnd"/>
      <w:r w:rsidRPr="006C4803">
        <w:rPr>
          <w:lang w:val="es-ES"/>
        </w:rPr>
        <w:t xml:space="preserve"> de única instancia y fiscal de ellos, de acuerdo al art. 153, se requiere: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1. Ciudadanía en ejercicio.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2. Haber cumplido 28 años y no tener más de 65.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3. Ser abogado con título universitario de facultad nacional, con 8 años de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ejercicio</w:t>
      </w:r>
      <w:proofErr w:type="gramEnd"/>
      <w:r w:rsidRPr="006C4803">
        <w:rPr>
          <w:lang w:val="es-ES"/>
        </w:rPr>
        <w:t xml:space="preserve"> en la profesión o 5 en la magistratura, habiendo ejercido la profesión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durante</w:t>
      </w:r>
      <w:proofErr w:type="gramEnd"/>
      <w:r w:rsidRPr="006C4803">
        <w:rPr>
          <w:lang w:val="es-ES"/>
        </w:rPr>
        <w:t xml:space="preserve"> 5 años o algún cargo en la magistratura durante 2 años, para el que se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requiera</w:t>
      </w:r>
      <w:proofErr w:type="gramEnd"/>
      <w:r w:rsidRPr="006C4803">
        <w:rPr>
          <w:lang w:val="es-ES"/>
        </w:rPr>
        <w:t xml:space="preserve"> la calidad de abogado. </w:t>
      </w:r>
    </w:p>
    <w:p w:rsidR="006C4803" w:rsidRPr="006C4803" w:rsidRDefault="00A53C14" w:rsidP="006C4803">
      <w:pPr>
        <w:rPr>
          <w:lang w:val="es-ES"/>
        </w:rPr>
      </w:pPr>
      <w:r>
        <w:rPr>
          <w:lang w:val="es-ES"/>
        </w:rPr>
        <w:t xml:space="preserve"> </w:t>
      </w:r>
      <w:r w:rsidR="006C4803" w:rsidRPr="006C4803">
        <w:rPr>
          <w:lang w:val="es-ES"/>
        </w:rPr>
        <w:t xml:space="preserve">Por último, el artículo 154 de la Constitución establece que para ser juez </w:t>
      </w:r>
    </w:p>
    <w:p w:rsidR="006C4803" w:rsidRPr="006C4803" w:rsidRDefault="006C4803" w:rsidP="006C4803">
      <w:pPr>
        <w:rPr>
          <w:lang w:val="es-ES"/>
        </w:rPr>
      </w:pPr>
      <w:proofErr w:type="gramStart"/>
      <w:r w:rsidRPr="006C4803">
        <w:rPr>
          <w:lang w:val="es-ES"/>
        </w:rPr>
        <w:t>letrado</w:t>
      </w:r>
      <w:proofErr w:type="gramEnd"/>
      <w:r w:rsidRPr="006C4803">
        <w:rPr>
          <w:lang w:val="es-ES"/>
        </w:rPr>
        <w:t xml:space="preserve"> en primera instancia, se requiere: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1. Ciudadanía en ejercicio. </w:t>
      </w:r>
    </w:p>
    <w:p w:rsidR="006C4803" w:rsidRPr="006C4803" w:rsidRDefault="006C4803" w:rsidP="006C4803">
      <w:pPr>
        <w:rPr>
          <w:lang w:val="es-ES"/>
        </w:rPr>
      </w:pPr>
      <w:r w:rsidRPr="006C4803">
        <w:rPr>
          <w:lang w:val="es-ES"/>
        </w:rPr>
        <w:t xml:space="preserve">2. Tener más de 25 años y menos de 70. </w:t>
      </w:r>
    </w:p>
    <w:p w:rsidR="00A53C14" w:rsidRDefault="006C4803" w:rsidP="006C4803">
      <w:pPr>
        <w:rPr>
          <w:lang w:val="es-ES"/>
        </w:rPr>
      </w:pPr>
      <w:r w:rsidRPr="006C4803">
        <w:rPr>
          <w:lang w:val="es-ES"/>
        </w:rPr>
        <w:t>3. Ser abogado con título universitario de facult</w:t>
      </w:r>
      <w:r>
        <w:rPr>
          <w:lang w:val="es-ES"/>
        </w:rPr>
        <w:t xml:space="preserve">ad nacional, habiendo ejercido </w:t>
      </w:r>
      <w:r w:rsidRPr="006C4803">
        <w:rPr>
          <w:lang w:val="es-ES"/>
        </w:rPr>
        <w:t xml:space="preserve">la profesión durante 5 años o algún cargo en la magistratura durante 2 años, para el que se requiere la calidad de abogado. </w:t>
      </w:r>
    </w:p>
    <w:p w:rsidR="00A53C14" w:rsidRPr="00A53C14" w:rsidRDefault="006C4803" w:rsidP="00A53C14">
      <w:pPr>
        <w:rPr>
          <w:b/>
          <w:lang w:val="es-ES"/>
        </w:rPr>
      </w:pPr>
      <w:r w:rsidRPr="006C4803">
        <w:rPr>
          <w:lang w:val="es-ES"/>
        </w:rPr>
        <w:cr/>
      </w:r>
      <w:r w:rsidR="00450DF2">
        <w:rPr>
          <w:b/>
          <w:lang w:val="es-ES"/>
        </w:rPr>
        <w:t>Aplicación en Alemania</w:t>
      </w:r>
      <w:proofErr w:type="gramStart"/>
      <w:r w:rsidR="00450DF2">
        <w:rPr>
          <w:b/>
          <w:lang w:val="es-ES"/>
        </w:rPr>
        <w:t xml:space="preserve">:  </w:t>
      </w:r>
      <w:proofErr w:type="spellStart"/>
      <w:r w:rsidR="00450DF2">
        <w:rPr>
          <w:b/>
          <w:lang w:val="es-ES"/>
        </w:rPr>
        <w:t>Bundesgerichtshof</w:t>
      </w:r>
      <w:proofErr w:type="spellEnd"/>
      <w:proofErr w:type="gramEnd"/>
    </w:p>
    <w:p w:rsidR="00CD798C" w:rsidRDefault="00A53C14" w:rsidP="00A53C14">
      <w:pPr>
        <w:rPr>
          <w:lang w:val="es-ES"/>
        </w:rPr>
      </w:pPr>
      <w:r>
        <w:rPr>
          <w:lang w:val="es-ES"/>
        </w:rPr>
        <w:t xml:space="preserve"> </w:t>
      </w:r>
      <w:r w:rsidRPr="00A53C14">
        <w:rPr>
          <w:lang w:val="es-ES"/>
        </w:rPr>
        <w:t>El artículo 95 de la Ley Fundamental de la República Federal de Alemania establece que los jueces de la Corte Suprema Federal</w:t>
      </w:r>
      <w:r w:rsidR="00CD798C">
        <w:rPr>
          <w:lang w:val="es-ES"/>
        </w:rPr>
        <w:t xml:space="preserve"> </w:t>
      </w:r>
      <w:r w:rsidR="00CD798C" w:rsidRPr="00CD798C">
        <w:rPr>
          <w:color w:val="C00000"/>
          <w:lang w:val="es-ES"/>
        </w:rPr>
        <w:t xml:space="preserve">[no es el </w:t>
      </w:r>
      <w:proofErr w:type="spellStart"/>
      <w:r w:rsidR="00CD798C" w:rsidRPr="00CD798C">
        <w:rPr>
          <w:color w:val="C00000"/>
          <w:lang w:val="es-ES"/>
        </w:rPr>
        <w:t>Bundesverfassungsgericht</w:t>
      </w:r>
      <w:proofErr w:type="spellEnd"/>
      <w:r w:rsidR="00CD798C" w:rsidRPr="00CD798C">
        <w:rPr>
          <w:color w:val="C00000"/>
          <w:lang w:val="es-ES"/>
        </w:rPr>
        <w:t>]</w:t>
      </w:r>
      <w:r w:rsidR="00CD798C">
        <w:rPr>
          <w:lang w:val="es-ES"/>
        </w:rPr>
        <w:t xml:space="preserve"> son elegidos conjuntamente </w:t>
      </w:r>
      <w:r w:rsidRPr="00A53C14">
        <w:rPr>
          <w:lang w:val="es-ES"/>
        </w:rPr>
        <w:t>por el Ministro Federal de Justicia y un comi</w:t>
      </w:r>
      <w:r w:rsidR="00CD798C">
        <w:rPr>
          <w:lang w:val="es-ES"/>
        </w:rPr>
        <w:t xml:space="preserve">té para la selección de jueces </w:t>
      </w:r>
      <w:r w:rsidRPr="00A53C14">
        <w:rPr>
          <w:lang w:val="es-ES"/>
        </w:rPr>
        <w:t xml:space="preserve">compuesto por los ministros de justicia de los </w:t>
      </w:r>
      <w:proofErr w:type="spellStart"/>
      <w:r w:rsidRPr="00A53C14">
        <w:rPr>
          <w:lang w:val="es-ES"/>
        </w:rPr>
        <w:t>Lander</w:t>
      </w:r>
      <w:proofErr w:type="spellEnd"/>
      <w:r w:rsidRPr="00A53C14">
        <w:rPr>
          <w:lang w:val="es-ES"/>
        </w:rPr>
        <w:t xml:space="preserve"> </w:t>
      </w:r>
      <w:r w:rsidR="00CD798C">
        <w:rPr>
          <w:lang w:val="es-ES"/>
        </w:rPr>
        <w:t xml:space="preserve">(estados) y un número igual de </w:t>
      </w:r>
      <w:r w:rsidRPr="00A53C14">
        <w:rPr>
          <w:lang w:val="es-ES"/>
        </w:rPr>
        <w:t xml:space="preserve">miembros elegidos por el </w:t>
      </w:r>
      <w:proofErr w:type="spellStart"/>
      <w:r w:rsidRPr="00A53C14">
        <w:rPr>
          <w:lang w:val="es-ES"/>
        </w:rPr>
        <w:t>Bundestag</w:t>
      </w:r>
      <w:proofErr w:type="spellEnd"/>
      <w:r w:rsidRPr="00A53C14">
        <w:rPr>
          <w:lang w:val="es-ES"/>
        </w:rPr>
        <w:t xml:space="preserve"> (Cámar</w:t>
      </w:r>
      <w:r w:rsidR="00CD798C">
        <w:rPr>
          <w:lang w:val="es-ES"/>
        </w:rPr>
        <w:t xml:space="preserve">a de Diputados de la República </w:t>
      </w:r>
      <w:r w:rsidRPr="00A53C14">
        <w:rPr>
          <w:lang w:val="es-ES"/>
        </w:rPr>
        <w:t>Federal). Participan, entonces, los poderes</w:t>
      </w:r>
      <w:r w:rsidR="00CD798C">
        <w:rPr>
          <w:lang w:val="es-ES"/>
        </w:rPr>
        <w:t xml:space="preserve"> Ejecutivo y Legislativo en el </w:t>
      </w:r>
      <w:r w:rsidRPr="00A53C14">
        <w:rPr>
          <w:lang w:val="es-ES"/>
        </w:rPr>
        <w:t xml:space="preserve">nombramiento de estos magistrados. </w:t>
      </w:r>
    </w:p>
    <w:p w:rsidR="00CD798C" w:rsidRDefault="00CD798C" w:rsidP="00CD798C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2"/>
          <w:szCs w:val="22"/>
        </w:rPr>
        <w:t>Bundesgerichtshof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>(BGH) in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"http://de.wikipedia.org/wiki/Karlsruhe" \o "Karlsruhe"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Karlsruhe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ist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oberste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Gericht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hyperlink r:id="rId5" w:tooltip="Deutschland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Bundesrepublik</w:t>
        </w:r>
        <w:proofErr w:type="spellEnd"/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Deutschland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auf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dem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Gebiet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"http://de.wikipedia.org/wiki/Ordentliche_Gerichtsbarkeit_(Deutschland)" \o "Ordentliche Gerichtsbarkeit (Deutschland)"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ordentlichen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2"/>
          <w:szCs w:val="22"/>
        </w:rPr>
        <w:t>Gerichtsbarkeit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damit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letzte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"http://de.wikipedia.org/wiki/Instanz_(Recht)" \o "Instanz (Recht)"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Instanz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>in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"http://de.wikipedia.org/wiki/Zivilprozessrecht_(Deutschland)" \o "Zivilprozessrecht (Deutschland)"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Zivil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>-</w:t>
      </w:r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und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"http://de.wikipedia.org/wiki/Strafverfahrensrecht_(Deutschland)" \o "Strafverfahrensrecht (Deutschland)"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Strafverfahren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Ferner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ist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für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verwandte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Spezialrechtsgebiete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zuständig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wie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etwa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das</w:t>
      </w:r>
      <w:hyperlink r:id="rId6" w:tooltip="Berufsrecht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Berufsrecht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Rechtspflege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BGH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soll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durch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seine</w:t>
      </w:r>
      <w:hyperlink r:id="rId7" w:tooltip="Rechtsprechung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Rechtsprechung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Rechtseinheit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wahren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Recht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fortbilden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vor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allem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aber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Entscheidungen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ihm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untergeordneten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Gerichte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überprüfen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. Er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ist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neben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dem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8" w:tooltip="Bundesarbeitsgericht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Bundesarbeitsgericht</w:t>
        </w:r>
      </w:hyperlink>
      <w:r>
        <w:rPr>
          <w:rFonts w:ascii="Arial" w:hAnsi="Arial" w:cs="Arial"/>
          <w:color w:val="252525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9" w:tooltip="Bundesfinanzhof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Bundesfinanzhof</w:t>
        </w:r>
      </w:hyperlink>
      <w:r>
        <w:rPr>
          <w:rFonts w:ascii="Arial" w:hAnsi="Arial" w:cs="Arial"/>
          <w:color w:val="252525"/>
          <w:sz w:val="22"/>
          <w:szCs w:val="22"/>
        </w:rPr>
        <w:t>,</w:t>
      </w:r>
      <w:hyperlink r:id="rId10" w:tooltip="Bundessozialgericht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Bundessozialgericht</w:t>
        </w:r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>und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1" w:tooltip="Bundesverwaltungsgericht (Deutschland)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Bundesverwaltungsgericht</w:t>
        </w:r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 xml:space="preserve">einer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fünf</w:t>
      </w:r>
      <w:hyperlink r:id="rId12" w:tooltip="Oberster Gerichtshof des Bundes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obersten</w:t>
        </w:r>
        <w:proofErr w:type="spellEnd"/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Gerichtshöfe</w:t>
        </w:r>
        <w:proofErr w:type="spellEnd"/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 xml:space="preserve"> des Bundes</w:t>
        </w:r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>(</w:t>
      </w:r>
      <w:hyperlink r:id="rId13" w:history="1">
        <w:r>
          <w:rPr>
            <w:rStyle w:val="Hipervnculo"/>
            <w:rFonts w:ascii="Arial" w:hAnsi="Arial" w:cs="Arial"/>
            <w:color w:val="663366"/>
            <w:sz w:val="22"/>
            <w:szCs w:val="22"/>
          </w:rPr>
          <w:t>Art. 95</w:t>
        </w:r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Abs</w:t>
      </w:r>
      <w:proofErr w:type="spellEnd"/>
      <w:r>
        <w:rPr>
          <w:rFonts w:ascii="Arial" w:hAnsi="Arial" w:cs="Arial"/>
          <w:color w:val="252525"/>
          <w:sz w:val="22"/>
          <w:szCs w:val="22"/>
        </w:rPr>
        <w:t>. 1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4" w:tooltip="Grundgesetz für die Bundesrepublik Deutschland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GG</w:t>
        </w:r>
      </w:hyperlink>
      <w:r>
        <w:rPr>
          <w:rFonts w:ascii="Arial" w:hAnsi="Arial" w:cs="Arial"/>
          <w:color w:val="252525"/>
          <w:sz w:val="22"/>
          <w:szCs w:val="22"/>
        </w:rPr>
        <w:t xml:space="preserve">).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Im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Gegensatz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r>
        <w:rPr>
          <w:rFonts w:ascii="Arial" w:hAnsi="Arial" w:cs="Arial"/>
          <w:color w:val="252525"/>
          <w:sz w:val="22"/>
          <w:szCs w:val="22"/>
        </w:rPr>
        <w:lastRenderedPageBreak/>
        <w:t>zum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"http://de.wikipedia.org/wiki/Bundesverfassungsgericht" \o "Bundesverfassungsgericht"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Bundesverfassungsgericht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 xml:space="preserve">,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seinen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Sitz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ebenfalls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Karlsruhe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hat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stellt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BGH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kein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eigenes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Verfassungsorgan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dar.</w:t>
      </w:r>
    </w:p>
    <w:p w:rsidR="00CD798C" w:rsidRDefault="00CD798C" w:rsidP="00CD798C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z w:val="22"/>
          <w:szCs w:val="22"/>
        </w:rPr>
        <w:t>Hauptsächlich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entscheidet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BGH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über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"http://de.wikipedia.org/wiki/Revision_(Recht)" \o "Revision (Recht)"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Revisionen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gegen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Urteile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hyperlink r:id="rId15" w:tooltip="Landgericht" w:history="1">
        <w:r>
          <w:rPr>
            <w:rStyle w:val="Hipervnculo"/>
            <w:rFonts w:ascii="Arial" w:hAnsi="Arial" w:cs="Arial"/>
            <w:color w:val="0B0080"/>
            <w:sz w:val="22"/>
            <w:szCs w:val="22"/>
          </w:rPr>
          <w:t>Landgerichte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und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"http://de.wikipedia.org/wiki/Oberlandesgericht" \o "Oberlandesgericht"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Oberlandesgerichte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Wie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jedes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Revisionsgericht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erhebt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dabei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 –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anders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als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ein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Berufungsgericht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 –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keine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"http://de.wikipedia.org/wiki/Beweis_(Rechtswesen)" \o "Beweis (Rechtswesen)"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Beweise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sondern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entscheidet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lediglich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darüber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ob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Urteil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Land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oder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Oberlandesgerichts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auf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Rechtsfehlern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beruht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>.</w:t>
      </w:r>
    </w:p>
    <w:p w:rsidR="00CD798C" w:rsidRDefault="00CD798C" w:rsidP="00CD798C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252525"/>
          <w:sz w:val="22"/>
          <w:szCs w:val="22"/>
        </w:rPr>
        <w:t>Als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"http://de.wikipedia.org/wiki/Beh%C3%B6rde" \o "Behörde"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Behörde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ist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Bundesgerichtshof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 –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wie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Bundesfinanzhof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Bundesverwaltungsgericht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 –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ressortmäßig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dem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"http://de.wikipedia.org/wiki/Bundesministerium_der_Justiz_und_f%C3%BCr_Verbraucherschutz" \o "Bundesministerium der Justiz und für Verbraucherschutz"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Bundesministerium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2"/>
          <w:szCs w:val="22"/>
        </w:rPr>
        <w:t>der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2"/>
          <w:szCs w:val="22"/>
        </w:rPr>
        <w:t>Justiz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2"/>
          <w:szCs w:val="22"/>
        </w:rPr>
        <w:t>und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2"/>
          <w:szCs w:val="22"/>
        </w:rPr>
        <w:t>für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2"/>
          <w:szCs w:val="22"/>
        </w:rPr>
        <w:t>Verbraucherschutz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unterstellt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unterliegt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dessen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allgemeiner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"http://de.wikipedia.org/wiki/Dienstaufsicht" \o "Dienstaufsicht"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Dienstaufsicht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 xml:space="preserve">. 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Als</w:t>
      </w:r>
      <w:proofErr w:type="spellEnd"/>
      <w:r w:rsidRPr="00CD798C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 w:rsidRPr="00CD798C">
        <w:rPr>
          <w:rFonts w:ascii="Arial" w:hAnsi="Arial" w:cs="Arial"/>
          <w:color w:val="252525"/>
          <w:sz w:val="22"/>
          <w:szCs w:val="22"/>
          <w:lang w:val="en-US"/>
        </w:rPr>
        <w:instrText xml:space="preserve"> HYPERLINK "http://de.wikipedia.org/wiki/Gericht" \o "Gericht"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proofErr w:type="gramStart"/>
      <w:r w:rsidRPr="00CD798C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>Gericht</w:t>
      </w:r>
      <w:proofErr w:type="spellEnd"/>
      <w:proofErr w:type="gramEnd"/>
      <w:r>
        <w:rPr>
          <w:rFonts w:ascii="Arial" w:hAnsi="Arial" w:cs="Arial"/>
          <w:color w:val="252525"/>
          <w:sz w:val="22"/>
          <w:szCs w:val="22"/>
        </w:rPr>
        <w:fldChar w:fldCharType="end"/>
      </w:r>
      <w:r w:rsidRPr="00CD798C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ist</w:t>
      </w:r>
      <w:proofErr w:type="spellEnd"/>
      <w:r w:rsidRPr="00CD798C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der</w:t>
      </w:r>
      <w:proofErr w:type="spellEnd"/>
      <w:r w:rsidRPr="00CD798C">
        <w:rPr>
          <w:rFonts w:ascii="Arial" w:hAnsi="Arial" w:cs="Arial"/>
          <w:color w:val="252525"/>
          <w:sz w:val="22"/>
          <w:szCs w:val="22"/>
          <w:lang w:val="en-US"/>
        </w:rPr>
        <w:t xml:space="preserve"> BGH 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aufgrund</w:t>
      </w:r>
      <w:proofErr w:type="spellEnd"/>
      <w:r w:rsidRPr="00CD798C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der</w:t>
      </w:r>
      <w:proofErr w:type="spellEnd"/>
      <w:r w:rsidRPr="00CD798C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fldChar w:fldCharType="begin"/>
      </w:r>
      <w:r w:rsidRPr="00CD798C">
        <w:rPr>
          <w:rFonts w:ascii="Arial" w:hAnsi="Arial" w:cs="Arial"/>
          <w:color w:val="252525"/>
          <w:sz w:val="22"/>
          <w:szCs w:val="22"/>
          <w:lang w:val="en-US"/>
        </w:rPr>
        <w:instrText xml:space="preserve"> HYPERLINK "http://de.wikipedia.org/wiki/Richter_(Deutschland)" \l "Die_richterliche_Unabh.C3.A4ngigkeit" \o "Richter (Deutschland)" </w:instrText>
      </w:r>
      <w:r>
        <w:rPr>
          <w:rFonts w:ascii="Arial" w:hAnsi="Arial" w:cs="Arial"/>
          <w:color w:val="252525"/>
          <w:sz w:val="22"/>
          <w:szCs w:val="22"/>
        </w:rPr>
        <w:fldChar w:fldCharType="separate"/>
      </w:r>
      <w:r w:rsidRPr="00CD798C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>richterlichen</w:t>
      </w:r>
      <w:proofErr w:type="spellEnd"/>
      <w:r w:rsidRPr="00CD798C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 xml:space="preserve"> </w:t>
      </w:r>
      <w:proofErr w:type="spellStart"/>
      <w:r w:rsidRPr="00CD798C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>Unabhängigkeit</w:t>
      </w:r>
      <w:proofErr w:type="spellEnd"/>
      <w:r>
        <w:rPr>
          <w:rFonts w:ascii="Arial" w:hAnsi="Arial" w:cs="Arial"/>
          <w:color w:val="252525"/>
          <w:sz w:val="22"/>
          <w:szCs w:val="22"/>
        </w:rPr>
        <w:fldChar w:fldCharType="end"/>
      </w:r>
      <w:r w:rsidRPr="00CD798C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allerdings</w:t>
      </w:r>
      <w:proofErr w:type="spellEnd"/>
      <w:r w:rsidRPr="00CD798C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keiner</w:t>
      </w:r>
      <w:proofErr w:type="spellEnd"/>
      <w:r w:rsidRPr="00CD798C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Aufsicht</w:t>
      </w:r>
      <w:proofErr w:type="spellEnd"/>
      <w:r w:rsidRPr="00CD798C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unterstellt</w:t>
      </w:r>
      <w:proofErr w:type="spellEnd"/>
      <w:r w:rsidRPr="00CD798C">
        <w:rPr>
          <w:rFonts w:ascii="Arial" w:hAnsi="Arial" w:cs="Arial"/>
          <w:color w:val="252525"/>
          <w:sz w:val="22"/>
          <w:szCs w:val="22"/>
          <w:lang w:val="en-US"/>
        </w:rPr>
        <w:t>.</w:t>
      </w:r>
    </w:p>
    <w:p w:rsidR="009A3A69" w:rsidRDefault="009A3A69" w:rsidP="00CD798C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  <w:lang w:val="en-US"/>
        </w:rPr>
      </w:pP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b/>
          <w:color w:val="252525"/>
          <w:sz w:val="22"/>
          <w:szCs w:val="22"/>
        </w:rPr>
      </w:pPr>
      <w:r w:rsidRPr="009A3A69">
        <w:rPr>
          <w:rFonts w:ascii="Arial" w:hAnsi="Arial" w:cs="Arial"/>
          <w:b/>
          <w:color w:val="252525"/>
          <w:sz w:val="22"/>
          <w:szCs w:val="22"/>
        </w:rPr>
        <w:t xml:space="preserve">CONCLUSIONES </w:t>
      </w:r>
      <w:r>
        <w:rPr>
          <w:rFonts w:ascii="Arial" w:hAnsi="Arial" w:cs="Arial"/>
          <w:b/>
          <w:color w:val="252525"/>
          <w:sz w:val="22"/>
          <w:szCs w:val="22"/>
        </w:rPr>
        <w:t>de la tesis fragmentariamente copiada: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Actualmente existen distintos sistemas de nombramiento de jueces, cada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uno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presenta ventajas y desventajas en su aplicación al momento de ofrecer a la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sociedad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un buen servicio judicial.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La designación de árbitros ofrece significativas ventajas comparativas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respecto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a los tribunales estatales, como la posibilidad de someterse a un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procedimiento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más rápido, ante jueces más especializados en la materia de la que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trate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el litigio y la privacidad con la que se desarrolla el proceso. A contrario sensu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presenta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desventajas que no pueden obviarse como la necesidad de remunerar al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árbitro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(los jueces estatales son de funcionamiento gratuito) y la privación de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garantías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que pueden sufrir los litigantes. No obstante lo anterior, cada día su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aplicación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es más utilizada y, como vimos, se ha ido progresivamente regulando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esta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materia en cada una de las legislaciones estudiadas, a fin de que su empleo se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vea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facilitado y se aseguren las garantías mínimas que deben existir en todo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procedimiento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judicial.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lastRenderedPageBreak/>
        <w:t xml:space="preserve">- La designación de jueces hecha por elección popular es un sistema más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criticado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que elogiado por la doctrina, en especial por la naturaleza de la función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jurisdiccional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, que exige funcionarios técnicos y no políticos. Un juez que depende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de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sus electores, vería afectada enormemente su imparcialidad. Por último,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señalamos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que la elección directa de los jueces por el pueblo es un tema de difícil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instrumentación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, en la práctica, por la posible politización de un poder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esencialmente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técnico. En la práctica, este sistema tiene muy poca utilización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actual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, salvo en determinados estados de Estados Unidos, que lo mantienen como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método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 selección de sus jueces estatales.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El sistema de nombramiento por el cual se entrega la potestad de nombrar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jueces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al legislador, tampoco recibe mucha aplicación práctica, en especial por el 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hecho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 politizar de sobremanera al Poder Judicial y hacerlo un órgano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directamente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dependiente del Legislativo. Por otro lado, presentaría la ventaja de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entregar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a un ente supuestamente bien preparado, serio y representativo de la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comunidad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, la trascendental misión de designar a los magistrados.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Entregar la designación de los jueces al ejecutivo es un sistema cada día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menos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utilizado, por cuanto va en contra del principio de separación de poderes y, al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igual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que la elección popular de los jueces, obstaculiza a la independencia de la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actividad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jurisdiccional. Por la anterior es que la mayoría de las legislaciones que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adoptan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este sistema incluyen una evaluación de los jueces por parte de la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ciudadanía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(véase el caso de Japón) o simplemente lo hacen de una manera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lastRenderedPageBreak/>
        <w:t>simbólica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, toda vez que en la práctica, también participan otras autoridades en el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nombramiento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(caso de Canadá y Australia).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El sistema de autogeneración, por medio del cual es el propio poder judicial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quien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prepara, designa e instala a sus jueces, cuenta con la gran ventaja de ser el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único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que asegura completamente la independencia del Poder Judicial respecto de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los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demás Poderes del Estado, por lo que actualmente es utilizado en varias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legislaciones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como mecanismo de selección de jueces. Se le critica el hecho de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favorecer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la existencia de un Poder Judicial con poco contacto con la actualidad,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alejado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 las necesidades sociales.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Los sistemas mixtos son los que más se utilizan por los Estados actuales,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toda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vez que “amortiguan” los inconvenientes que cada uno de los sistemas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anteriores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presentan y evitan los abusos que se pueden producir al entregar a un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solo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organismo la facultad de designar jueces.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Los resultados de la investigación realizada concluyen que los sistemas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más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utilizados actualmente son los sistemas mixtos de nombramiento y el de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autogeneración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(nombramiento hecho por el propio Poder Judicial). Considerando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cada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uno de los sistemas estudiados, los datos obtenidos son los siguientes: los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sistemas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mixto son adoptados en 15 de los países estudiados; el de autogeneración 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por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el poder judicial se incluye en 10 legislaciones; la designación hecha por el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ejecutivo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está presente en 5 Estados; y los sistemas de elección popular de jueces y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lastRenderedPageBreak/>
        <w:t>nombramiento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hecho por el poder legislativos encontramos 4 países en que se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aplicaban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Muchas legislaciones han incorporado instituciones autónomas (llamadas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comúnmente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Consejo de la Magistratura) encargadas del proceso de selección y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nombramiento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 magistrados, las que, de acuerdo a la experiencia en los países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que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los han instaurado, han profesionalizado estos procesos y evitado la posibilidad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de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abusos en las designaciones.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Analizando las ventajas y desventajas que presenta cada uno de los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sistemas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estudiados, creemos que el más adecuado para un correcto desarrollo de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la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actividad judicial es el de autogeneración, por cuanto hemos explicado en este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trabajo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las importantes diferencias que existen entre la función judicial y las demás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funciones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que ejerce la administración del Estado. Por lo que consideramos que la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intervención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 órganos representativos en un Poder del Estado esencialmente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técnico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puede ocasionar graves distorsiones en el trabajo de los jueces.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r w:rsidRPr="009A3A69">
        <w:rPr>
          <w:rFonts w:ascii="Arial" w:hAnsi="Arial" w:cs="Arial"/>
          <w:color w:val="252525"/>
          <w:sz w:val="22"/>
          <w:szCs w:val="22"/>
        </w:rPr>
        <w:t xml:space="preserve">- Creemos también que, no obstante lo anterior, todos los sistemas pueden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ser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regulados (y de hecho, vimos que en la mayoría de los casos, lo son) de manera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que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aseguren que no se cometerán abusos por la autoridad facultada con la </w:t>
      </w:r>
    </w:p>
    <w:p w:rsidR="009A3A69" w:rsidRPr="009A3A69" w:rsidRDefault="009A3A69" w:rsidP="009A3A69">
      <w:pPr>
        <w:pStyle w:val="NormalWeb"/>
        <w:shd w:val="clear" w:color="auto" w:fill="FFFFFF"/>
        <w:spacing w:before="120" w:after="12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potestad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de nombramiento, y se garantice la existencia de jueces imparciales e </w:t>
      </w:r>
    </w:p>
    <w:p w:rsidR="009A3A69" w:rsidRPr="009A3A69" w:rsidRDefault="009A3A69" w:rsidP="009A3A69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proofErr w:type="gramStart"/>
      <w:r w:rsidRPr="009A3A69">
        <w:rPr>
          <w:rFonts w:ascii="Arial" w:hAnsi="Arial" w:cs="Arial"/>
          <w:color w:val="252525"/>
          <w:sz w:val="22"/>
          <w:szCs w:val="22"/>
        </w:rPr>
        <w:t>independientes</w:t>
      </w:r>
      <w:proofErr w:type="gramEnd"/>
      <w:r w:rsidRPr="009A3A69">
        <w:rPr>
          <w:rFonts w:ascii="Arial" w:hAnsi="Arial" w:cs="Arial"/>
          <w:color w:val="252525"/>
          <w:sz w:val="22"/>
          <w:szCs w:val="22"/>
        </w:rPr>
        <w:t xml:space="preserve"> en el ejercicio de su función. </w:t>
      </w:r>
      <w:r w:rsidRPr="009A3A69">
        <w:rPr>
          <w:rFonts w:ascii="Arial" w:hAnsi="Arial" w:cs="Arial"/>
          <w:color w:val="252525"/>
          <w:sz w:val="22"/>
          <w:szCs w:val="22"/>
        </w:rPr>
        <w:cr/>
      </w:r>
    </w:p>
    <w:p w:rsidR="006C4803" w:rsidRPr="009A3A69" w:rsidRDefault="006C4803" w:rsidP="00A53C14"/>
    <w:sectPr w:rsidR="006C4803" w:rsidRPr="009A3A69" w:rsidSect="00A812BC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BC"/>
    <w:rsid w:val="002324B6"/>
    <w:rsid w:val="00281236"/>
    <w:rsid w:val="0028642D"/>
    <w:rsid w:val="004368F6"/>
    <w:rsid w:val="00450DF2"/>
    <w:rsid w:val="006C4803"/>
    <w:rsid w:val="007D1A6E"/>
    <w:rsid w:val="009A3A69"/>
    <w:rsid w:val="00A53C14"/>
    <w:rsid w:val="00A812BC"/>
    <w:rsid w:val="00B65409"/>
    <w:rsid w:val="00CC5808"/>
    <w:rsid w:val="00C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1A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CD798C"/>
  </w:style>
  <w:style w:type="character" w:customStyle="1" w:styleId="plainlinks-print">
    <w:name w:val="plainlinks-print"/>
    <w:basedOn w:val="Fuentedeprrafopredeter"/>
    <w:rsid w:val="00CD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Bundesarbeitsgericht" TargetMode="External"/><Relationship Id="rId13" Type="http://schemas.openxmlformats.org/officeDocument/2006/relationships/hyperlink" Target="http://bundesrecht.juris.de/gg/art_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Rechtsprechung" TargetMode="External"/><Relationship Id="rId12" Type="http://schemas.openxmlformats.org/officeDocument/2006/relationships/hyperlink" Target="http://de.wikipedia.org/wiki/Oberster_Gerichtshof_des_Bund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Berufsrecht" TargetMode="External"/><Relationship Id="rId11" Type="http://schemas.openxmlformats.org/officeDocument/2006/relationships/hyperlink" Target="http://de.wikipedia.org/wiki/Bundesverwaltungsgericht_(Deutschland)" TargetMode="External"/><Relationship Id="rId5" Type="http://schemas.openxmlformats.org/officeDocument/2006/relationships/hyperlink" Target="http://de.wikipedia.org/wiki/Deutschland" TargetMode="External"/><Relationship Id="rId15" Type="http://schemas.openxmlformats.org/officeDocument/2006/relationships/hyperlink" Target="http://de.wikipedia.org/wiki/Landgericht" TargetMode="External"/><Relationship Id="rId10" Type="http://schemas.openxmlformats.org/officeDocument/2006/relationships/hyperlink" Target="http://de.wikipedia.org/wiki/Bundessozialgericht" TargetMode="External"/><Relationship Id="rId4" Type="http://schemas.openxmlformats.org/officeDocument/2006/relationships/hyperlink" Target="http://www.tesis.uchile.cl/bitstream/handle/2250/110964/de-Calidonio_b.pdf?sequence=1" TargetMode="External"/><Relationship Id="rId9" Type="http://schemas.openxmlformats.org/officeDocument/2006/relationships/hyperlink" Target="http://de.wikipedia.org/wiki/Bundesfinanzhof" TargetMode="External"/><Relationship Id="rId14" Type="http://schemas.openxmlformats.org/officeDocument/2006/relationships/hyperlink" Target="http://de.wikipedia.org/wiki/Grundgesetz_f%C3%BCr_die_Bundesrepublik_Deutschlan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3251</Words>
  <Characters>17885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2014-05-20T17:24:00Z</dcterms:created>
  <dcterms:modified xsi:type="dcterms:W3CDTF">2014-05-20T18:04:00Z</dcterms:modified>
</cp:coreProperties>
</file>