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4" w:rsidRDefault="0019463D">
      <w:pPr>
        <w:rPr>
          <w:lang w:val="en-US"/>
        </w:rPr>
      </w:pPr>
      <w:proofErr w:type="spellStart"/>
      <w:r w:rsidRPr="0019463D">
        <w:rPr>
          <w:lang w:val="en-US"/>
        </w:rPr>
        <w:t>Einkommensverteilung</w:t>
      </w:r>
      <w:proofErr w:type="spellEnd"/>
      <w:r w:rsidRPr="0019463D">
        <w:rPr>
          <w:lang w:val="en-US"/>
        </w:rPr>
        <w:t xml:space="preserve"> in Deutschland</w:t>
      </w:r>
    </w:p>
    <w:p w:rsidR="00336968" w:rsidRPr="00336968" w:rsidRDefault="00336968">
      <w:r w:rsidRPr="00336968">
        <w:t xml:space="preserve">(Aporte del </w:t>
      </w:r>
      <w:proofErr w:type="spellStart"/>
      <w:r w:rsidRPr="00336968">
        <w:t>Ctdor</w:t>
      </w:r>
      <w:proofErr w:type="spellEnd"/>
      <w:r w:rsidRPr="00336968">
        <w:t xml:space="preserve"> RAUL  IGNACIO PULS</w:t>
      </w:r>
      <w:r>
        <w:t xml:space="preserve">  para el curso Alemán jurídico 2016)</w:t>
      </w:r>
    </w:p>
    <w:p w:rsidR="0019463D" w:rsidRDefault="0019463D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 w:rsidRPr="0019463D">
        <w:rPr>
          <w:lang w:val="en-US"/>
        </w:rPr>
        <w:t xml:space="preserve">DIE ZEIT </w:t>
      </w:r>
      <w:hyperlink r:id="rId4" w:tgtFrame="_blank" w:history="1">
        <w:r w:rsidRPr="0019463D">
          <w:rPr>
            <w:rStyle w:val="Hipervnculo"/>
            <w:rFonts w:ascii="Verdana" w:hAnsi="Verdana"/>
            <w:sz w:val="20"/>
            <w:szCs w:val="20"/>
            <w:shd w:val="clear" w:color="auto" w:fill="FFFFFF"/>
            <w:lang w:val="en-US"/>
          </w:rPr>
          <w:t>http://www.zeit.de/wirtschaft/2016-07/soziale-ungleichheit-deutschland</w:t>
        </w:r>
      </w:hyperlink>
      <w:r w:rsidRPr="0019463D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336968" w:rsidRPr="00336968" w:rsidRDefault="00336968" w:rsidP="00336968">
      <w:pPr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</w:pPr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 xml:space="preserve">Das </w:t>
      </w:r>
      <w:proofErr w:type="spellStart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>Märchen</w:t>
      </w:r>
      <w:proofErr w:type="spellEnd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>vom</w:t>
      </w:r>
      <w:proofErr w:type="spellEnd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>Märchen</w:t>
      </w:r>
      <w:proofErr w:type="spellEnd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b/>
          <w:bCs/>
          <w:color w:val="313131"/>
          <w:kern w:val="36"/>
          <w:sz w:val="24"/>
          <w:szCs w:val="24"/>
          <w:lang w:val="en-US" w:eastAsia="es-AR"/>
        </w:rPr>
        <w:t>Ungleichheit</w:t>
      </w:r>
      <w:proofErr w:type="spellEnd"/>
    </w:p>
    <w:p w:rsidR="00336968" w:rsidRPr="00336968" w:rsidRDefault="00336968" w:rsidP="00336968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</w:pP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Stimmt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alles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gar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, in Deutschland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geht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gar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so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ungerecht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behaupten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einige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Sechs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Gründe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warum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wachsende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gelebte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Realität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ist</w:t>
      </w:r>
      <w:proofErr w:type="spellEnd"/>
      <w:proofErr w:type="gramEnd"/>
    </w:p>
    <w:p w:rsidR="00336968" w:rsidRPr="00336968" w:rsidRDefault="00336968" w:rsidP="00336968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</w:pP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>Gastbeitrag</w:t>
      </w:r>
      <w:proofErr w:type="spellEnd"/>
      <w:r w:rsidRPr="00336968">
        <w:rPr>
          <w:rFonts w:ascii="Helvetica" w:eastAsia="Times New Roman" w:hAnsi="Helvetica" w:cs="Helvetica"/>
          <w:color w:val="444444"/>
          <w:sz w:val="24"/>
          <w:szCs w:val="24"/>
          <w:lang w:val="en-US" w:eastAsia="es-AR"/>
        </w:rPr>
        <w:t xml:space="preserve"> von </w:t>
      </w:r>
      <w:hyperlink r:id="rId5" w:tgtFrame="_blank" w:history="1">
        <w:r w:rsidRPr="00336968">
          <w:rPr>
            <w:rFonts w:ascii="Helvetica" w:eastAsia="Times New Roman" w:hAnsi="Helvetica" w:cs="Helvetica"/>
            <w:b/>
            <w:bCs/>
            <w:color w:val="313131"/>
            <w:sz w:val="24"/>
            <w:szCs w:val="24"/>
            <w:u w:val="single"/>
            <w:lang w:val="en-US" w:eastAsia="es-AR"/>
          </w:rPr>
          <w:t xml:space="preserve">Marcel </w:t>
        </w:r>
        <w:proofErr w:type="spellStart"/>
        <w:r w:rsidRPr="00336968">
          <w:rPr>
            <w:rFonts w:ascii="Helvetica" w:eastAsia="Times New Roman" w:hAnsi="Helvetica" w:cs="Helvetica"/>
            <w:b/>
            <w:bCs/>
            <w:color w:val="313131"/>
            <w:sz w:val="24"/>
            <w:szCs w:val="24"/>
            <w:u w:val="single"/>
            <w:lang w:val="en-US" w:eastAsia="es-AR"/>
          </w:rPr>
          <w:t>Fratzscher</w:t>
        </w:r>
        <w:proofErr w:type="spellEnd"/>
      </w:hyperlink>
    </w:p>
    <w:p w:rsidR="00336968" w:rsidRPr="00336968" w:rsidRDefault="00336968" w:rsidP="003369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</w:pPr>
    </w:p>
    <w:p w:rsidR="00336968" w:rsidRPr="00336968" w:rsidRDefault="00336968" w:rsidP="003369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</w:pPr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Aussage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,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sei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eines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ungleichsten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Länder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industrialisierten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Welt,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ruft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immer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wieder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erbitterten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Widerstand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hervor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Wir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wollen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offenbar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kein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extrem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ungleiches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sein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Aber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ehrlicher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Blick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auf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Fakten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zeigt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dass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wir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trotzdem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sind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Sechs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Gründe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warum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Märchen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von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in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leider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kein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Märchen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sondern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gelebte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Realität</w:t>
      </w:r>
      <w:proofErr w:type="spellEnd"/>
      <w:r w:rsidRPr="00336968">
        <w:rPr>
          <w:rFonts w:ascii="Georgia" w:eastAsia="Times New Roman" w:hAnsi="Georgia" w:cs="Times New Roman"/>
          <w:color w:val="313131"/>
          <w:sz w:val="30"/>
          <w:szCs w:val="30"/>
          <w:lang w:val="en-US" w:eastAsia="es-AR"/>
        </w:rPr>
        <w:t>.</w:t>
      </w:r>
    </w:p>
    <w:p w:rsidR="00336968" w:rsidRPr="00336968" w:rsidRDefault="00336968" w:rsidP="003369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</w:pP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gram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1. 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Wirklich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sozial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, was "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gute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"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schafft</w:t>
      </w:r>
      <w:proofErr w:type="spellEnd"/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Arbeitsmarkt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läuft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gut,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begin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instrText xml:space="preserve"> HYPERLINK "http://www.zeit.de/wirtschaft/2016-04/bundesagentur-arbeit-arbeitslosenzahlen-abnahme" \t "_blank" </w:instrTex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separate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viele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zuvor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Arbeitslose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haben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 xml:space="preserve"> nun Jobs</w: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end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Vermehrt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Ältere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Frauen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wieder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schlechteren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Gehalt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manche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Ökonomen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Grund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steigende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quasi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automatisch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"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gutem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Grund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",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schlecht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bezahlter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Job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besser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als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gar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keiner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stimmen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Erwerbsquote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und das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positiv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gut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noch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richtig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hingegen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dass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quasi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automatisch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muss.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gibt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Naturgesetz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vorschreibt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Frauen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müssen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schlechter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bezahlten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Berufen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landen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Deutschland hat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Europa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zudem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22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höchsten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hyperlink r:id="rId6" w:tgtFrame="_blank" w:history="1">
        <w:r w:rsidRPr="00336968">
          <w:rPr>
            <w:rFonts w:ascii="Georgia" w:eastAsia="Times New Roman" w:hAnsi="Georgia" w:cs="Times New Roman"/>
            <w:color w:val="313131"/>
            <w:sz w:val="24"/>
            <w:szCs w:val="24"/>
            <w:u w:val="single"/>
            <w:lang w:val="en-US" w:eastAsia="es-AR"/>
          </w:rPr>
          <w:t>Gender Pay Gaps</w:t>
        </w:r>
      </w:hyperlink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westlichen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Industrieländer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Würden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schaffen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Frauen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bessere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bringen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würde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sinken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 </w:t>
      </w:r>
    </w:p>
    <w:p w:rsidR="00336968" w:rsidRPr="00336968" w:rsidRDefault="00336968" w:rsidP="0033696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pacing w:val="19"/>
          <w:sz w:val="24"/>
          <w:szCs w:val="24"/>
          <w:lang w:val="en-US" w:eastAsia="es-AR"/>
        </w:rPr>
      </w:pPr>
      <w:r w:rsidRPr="00336968">
        <w:rPr>
          <w:rFonts w:ascii="Verdana" w:eastAsia="Times New Roman" w:hAnsi="Verdana" w:cs="Times New Roman"/>
          <w:b/>
          <w:bCs/>
          <w:caps/>
          <w:color w:val="000000"/>
          <w:spacing w:val="19"/>
          <w:sz w:val="24"/>
          <w:szCs w:val="24"/>
          <w:lang w:val="en-US" w:eastAsia="es-AR"/>
        </w:rPr>
        <w:t>MARCEL FRATZSCHER</w:t>
      </w:r>
    </w:p>
    <w:p w:rsidR="00336968" w:rsidRPr="00336968" w:rsidRDefault="00336968" w:rsidP="00336968">
      <w:pPr>
        <w:spacing w:after="0" w:line="240" w:lineRule="auto"/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</w:pPr>
      <w:proofErr w:type="spellStart"/>
      <w:proofErr w:type="gram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leitet</w:t>
      </w:r>
      <w:proofErr w:type="spellEnd"/>
      <w:proofErr w:type="gram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das </w:t>
      </w:r>
      <w:hyperlink r:id="rId7" w:tgtFrame="_blank" w:history="1"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 xml:space="preserve">Deutsche </w:t>
        </w:r>
        <w:proofErr w:type="spellStart"/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>Institut</w:t>
        </w:r>
        <w:proofErr w:type="spellEnd"/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 xml:space="preserve"> </w:t>
        </w:r>
        <w:proofErr w:type="spellStart"/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>für</w:t>
        </w:r>
        <w:proofErr w:type="spellEnd"/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 xml:space="preserve"> </w:t>
        </w:r>
        <w:proofErr w:type="spellStart"/>
        <w:r w:rsidRPr="00336968">
          <w:rPr>
            <w:rFonts w:ascii="Verdana" w:eastAsia="Times New Roman" w:hAnsi="Verdana" w:cs="Times New Roman"/>
            <w:color w:val="313131"/>
            <w:spacing w:val="7"/>
            <w:sz w:val="20"/>
            <w:u w:val="single"/>
            <w:lang w:val="en-US" w:eastAsia="es-AR"/>
          </w:rPr>
          <w:t>Wirtschaftsforschung</w:t>
        </w:r>
        <w:proofErr w:type="spellEnd"/>
      </w:hyperlink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 und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ist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Professor an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der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Humboldt-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Universität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in Berlin. Von 2001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bis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2012 war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Fratzscher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für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die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Europäische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Zentralbank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(EZB)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tätig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,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zuletzt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als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Leiter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der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Abteilung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International Policy Analysis (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Internationale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wirtschaftspolitische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 xml:space="preserve"> </w:t>
      </w:r>
      <w:proofErr w:type="spellStart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Analysen</w:t>
      </w:r>
      <w:proofErr w:type="spellEnd"/>
      <w:r w:rsidRPr="00336968">
        <w:rPr>
          <w:rFonts w:ascii="Verdana" w:eastAsia="Times New Roman" w:hAnsi="Verdana" w:cs="Times New Roman"/>
          <w:color w:val="707070"/>
          <w:spacing w:val="7"/>
          <w:sz w:val="20"/>
          <w:szCs w:val="20"/>
          <w:lang w:val="en-US" w:eastAsia="es-AR"/>
        </w:rPr>
        <w:t>).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Kurzum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das Mantra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sollte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heißen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"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was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schafft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,"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"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was GUTE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schafft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". Es muss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Anspruch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dynamischen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Marktwirtschaft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Anteil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an Jobs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Niedriglohnsektor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prekären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Verhältnissen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senken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–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was in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Normalität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geworden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2. Die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in den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vergangenen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Jahrzehnten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br/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leicht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gefallen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argumentieren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einige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Ökonomen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diese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Aussage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meisten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Fällen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falsch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trifft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Entwicklung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Markteinkommen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zwischen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2005 und 2013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lastRenderedPageBreak/>
        <w:t>zwei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bestimmte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Personengruppen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betrachtet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: 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sozialversicherungspflichtig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abhängig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Vollzeit-Beschäftigen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und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Arbeitslosen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also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Menschen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durchgehend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beschäftigt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waren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Menschen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die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vorher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gar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keinen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Job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hatten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nun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Vollzeitjob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haben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ändert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grundlegend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steigende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Anzahl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Bürgern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prekärer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oder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begin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instrText xml:space="preserve"> HYPERLINK "http://www.zeit.de/karriere/beruf/2016-03/teilzeitarbeit-muetter-kuendigung-personalmanager" \t "_blank" </w:instrTex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separate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Teilzeit-Beschäftigung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end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oder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Selbstständige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Beamte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berücksichtigt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gesunken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  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Schaut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diesem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Gesichtspunkt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vergangenen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70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Jahre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an,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Einkommensungleichheit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sogar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stark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40-Jährigen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heute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doppelt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so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groß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den 1970er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Jahren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 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selbst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kurzfristige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Perspektive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einnimmt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: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wirklich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Erfolg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dass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historischen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Höhepunkt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Jahr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2005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weiter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?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hohe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wirklich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Problem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mehr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noch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weiter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steigt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?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Zumal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gleichen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Zeitraum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Beschäftigung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stark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weniger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Lohndynamik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höheren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Anteil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guten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Jobs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hätte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deutlich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sinken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müssen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3.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größte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Teil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des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Wirtschaftswachstums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kommt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den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Eigentümern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von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Unternehmen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Kapital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zugute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br/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Arbeitseinkommen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Arbeitnehmer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2000 um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fünf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Vermögen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unternehmerischer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Tätigkeit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um 30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 Das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begin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instrText xml:space="preserve"> HYPERLINK "http://www.zeit.de/wirtschaft/2016-07/brexit-folgen-euro-zone-finanzminister-einbruch-wirtschaftswachstum" \t "_blank" </w:instrTex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separate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Wirtschaftswachstum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end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demnach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fast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ausschließlich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Eigentümern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Unternehmen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Vermögen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zugute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zeigt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wachsende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Sichtbar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wird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Kapitaleinkommen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Betrachtung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einfließen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was oft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geschieht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</w:p>
    <w:p w:rsidR="00336968" w:rsidRPr="00336968" w:rsidRDefault="00336968" w:rsidP="003369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s-AR"/>
        </w:rPr>
      </w:pP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4.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Chancengleichheit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soziale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Mobilität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verbessern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sich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sondern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sinken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zum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Teil</w:t>
      </w:r>
      <w:proofErr w:type="spellEnd"/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gerecht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Chancen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Gesellschaft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verteilt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zufrieden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Bürger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sind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hängt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Mensch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durch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seiner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eigenen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Hände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erzielen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kann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staatlich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gezahlten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Transferleistungen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diese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Markteinkommen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gehört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Deutschland international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ungerechtesten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Industrieländern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vergangenen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zwei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Jahrzehnten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noch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mal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deutlich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gestiegen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Hinterfragen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ob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hohe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Umverteilung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Zeichen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gut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funktionierende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Marktwirtschaft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Wäre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viel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besser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jeder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Einzelne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mehr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erzielen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würde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Staat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deswegen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weniger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umverteilen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müsste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?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Deutschland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sind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immer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mehr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Menschen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ganz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oder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teilweise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Staat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abhängig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 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Ostdeutschland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erhalten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beispielsweise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knapp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40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Haushalte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mindestens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Hälfte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ihres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über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staatliche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Transferleistungen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Warum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das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Zeichen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gut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funktionierende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Marktwirtschaft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soll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schwer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verstehen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  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5. Deutschland hat die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höchste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bei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privaten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Vermögen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Eurozone</w:t>
      </w:r>
      <w:proofErr w:type="spellEnd"/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lastRenderedPageBreak/>
        <w:t>Viele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Ökonomen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konzentrieren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auf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vernachlässigen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Vermögen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Dabei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hat Deutschland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höchste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Vermögensungleichheit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begin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instrText xml:space="preserve"> HYPERLINK "http://www.zeit.de/wirtschaft/2016-02/europa-konjunktur-china" \t "_blank" </w:instrTex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separate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Eurozone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end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reichsten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zehn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gehören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fast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zwei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Drittel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gesamten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Privatvermögens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40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Bevölkerung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verfügen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praktisch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über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Nettovermögen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–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deutlich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weniger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als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fast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anderen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Ländern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Eurozone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Vermögensanteil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50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drei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1990er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Jahren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auf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gefallen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Internationale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Verweis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auf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gute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Absicherung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Rentenanwartschaften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infrage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gestellt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Dies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jedoch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Illusion,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gerade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Menschen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geringem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Einkommen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haben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internationalen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relativ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geringe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Rentenanwartschaften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 </w:t>
      </w:r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6. Die Art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Bildungsausgaben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dämpfen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b/>
          <w:bCs/>
          <w:color w:val="313131"/>
          <w:sz w:val="24"/>
          <w:szCs w:val="24"/>
          <w:lang w:val="en-US" w:eastAsia="es-AR"/>
        </w:rPr>
        <w:t>nicht</w:t>
      </w:r>
      <w:proofErr w:type="spellEnd"/>
    </w:p>
    <w:p w:rsidR="00336968" w:rsidRPr="00336968" w:rsidRDefault="00336968" w:rsidP="00336968">
      <w:pPr>
        <w:spacing w:after="144" w:line="240" w:lineRule="auto"/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</w:pP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Deutschland, so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heißt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habe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ein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gutes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Bildungssystem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das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Ungleichheit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dämpfe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Ist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das so?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aktuellen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Bildungsbericht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gerade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schlechten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Bildungschancen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unteren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Gesellschaftsschichten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und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geringe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soziale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Mobilität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kritisiert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internationalen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Vergleich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gibt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Deutschland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verhältnismäßig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wenig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frühkindliche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von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 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begin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instrText xml:space="preserve"> HYPERLINK "http://www.zeit.de/gesellschaft/2016-04/kinder-soziale-ungleichheit-in-industriestaaten-unicef-bericht" \t "_blank" </w:instrTex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separate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>benachteiligte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u w:val="single"/>
          <w:lang w:val="en-US" w:eastAsia="es-AR"/>
        </w:rPr>
        <w:t xml:space="preserve"> Kinder</w:t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eastAsia="es-AR"/>
        </w:rPr>
        <w:fldChar w:fldCharType="end"/>
      </w:r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 –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kämen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Genuss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–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besonders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profitieren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würden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Autoren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des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Berichts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fordern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mindestens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drei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Milliarden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Euro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zusätzlich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für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frühkindliche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Ausbildung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Relativ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viel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investieren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hingegen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in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tertiären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Bereich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wie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Universitäten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Davon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profitieren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aber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vor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allem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Kinder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Oberschicht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denn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während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etwa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70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Akademikerkinder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proofErr w:type="gram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an</w:t>
      </w:r>
      <w:proofErr w:type="spellEnd"/>
      <w:proofErr w:type="gram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die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Uni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gehen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,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sind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es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Arbeiterkindern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nur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.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Zudem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werden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heute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20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Prozent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der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Bildungsausgaben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privat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geleistet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– und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auch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hier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überwiegend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 xml:space="preserve"> von den </w:t>
      </w:r>
      <w:proofErr w:type="spellStart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Bessergestellten</w:t>
      </w:r>
      <w:proofErr w:type="spellEnd"/>
      <w:r w:rsidRPr="00336968">
        <w:rPr>
          <w:rFonts w:ascii="Georgia" w:eastAsia="Times New Roman" w:hAnsi="Georgia" w:cs="Times New Roman"/>
          <w:color w:val="313131"/>
          <w:sz w:val="24"/>
          <w:szCs w:val="24"/>
          <w:lang w:val="en-US" w:eastAsia="es-AR"/>
        </w:rPr>
        <w:t>.</w:t>
      </w:r>
    </w:p>
    <w:p w:rsidR="00336968" w:rsidRPr="0019463D" w:rsidRDefault="00336968">
      <w:pPr>
        <w:rPr>
          <w:lang w:val="en-US"/>
        </w:rPr>
      </w:pPr>
    </w:p>
    <w:sectPr w:rsidR="00336968" w:rsidRPr="0019463D" w:rsidSect="0019463D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63D"/>
    <w:rsid w:val="000F76A4"/>
    <w:rsid w:val="0019463D"/>
    <w:rsid w:val="003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A4"/>
  </w:style>
  <w:style w:type="paragraph" w:styleId="Ttulo1">
    <w:name w:val="heading 1"/>
    <w:basedOn w:val="Normal"/>
    <w:link w:val="Ttulo1Car"/>
    <w:uiPriority w:val="9"/>
    <w:qFormat/>
    <w:rsid w:val="0033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36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63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69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3696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12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21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28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0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5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6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48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7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2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89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5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37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0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w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it.de/karriere/2016-03/gender-pay-gap-frauen-maenner-gehalt-unterschiede-studie" TargetMode="External"/><Relationship Id="rId5" Type="http://schemas.openxmlformats.org/officeDocument/2006/relationships/hyperlink" Target="http://www.zeit.de/autoren/F/Marcel_Fratzscher/index" TargetMode="External"/><Relationship Id="rId4" Type="http://schemas.openxmlformats.org/officeDocument/2006/relationships/hyperlink" Target="http://www.zeit.de/wirtschaft/2016-07/soziale-ungleichheit-deutsch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1295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2016-08-02T18:55:00Z</dcterms:created>
  <dcterms:modified xsi:type="dcterms:W3CDTF">2016-08-02T19:01:00Z</dcterms:modified>
</cp:coreProperties>
</file>