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5A" w:rsidRDefault="00A75C07">
      <w:pPr>
        <w:rPr>
          <w:lang w:val="es-ES"/>
        </w:rPr>
      </w:pPr>
      <w:r>
        <w:rPr>
          <w:lang w:val="es-ES"/>
        </w:rPr>
        <w:t xml:space="preserve">Amparo  </w:t>
      </w:r>
      <w:r w:rsidR="00C802B8">
        <w:rPr>
          <w:lang w:val="es-ES"/>
        </w:rPr>
        <w:t xml:space="preserve">y otras </w:t>
      </w:r>
      <w:r>
        <w:rPr>
          <w:lang w:val="es-ES"/>
        </w:rPr>
        <w:t>garantía</w:t>
      </w:r>
      <w:r w:rsidR="00C802B8">
        <w:rPr>
          <w:lang w:val="es-ES"/>
        </w:rPr>
        <w:t>s</w:t>
      </w:r>
      <w:r>
        <w:rPr>
          <w:lang w:val="es-ES"/>
        </w:rPr>
        <w:t xml:space="preserve"> constitucional</w:t>
      </w:r>
      <w:r w:rsidR="00C802B8">
        <w:rPr>
          <w:lang w:val="es-ES"/>
        </w:rPr>
        <w:t>es</w:t>
      </w:r>
      <w:r>
        <w:rPr>
          <w:lang w:val="es-ES"/>
        </w:rPr>
        <w:t xml:space="preserve">  </w:t>
      </w:r>
      <w:proofErr w:type="spellStart"/>
      <w:r>
        <w:rPr>
          <w:lang w:val="es-ES"/>
        </w:rPr>
        <w:t>Der</w:t>
      </w:r>
      <w:proofErr w:type="spellEnd"/>
      <w:r>
        <w:rPr>
          <w:lang w:val="es-ES"/>
        </w:rPr>
        <w:t xml:space="preserve"> Comparado</w:t>
      </w:r>
    </w:p>
    <w:p w:rsidR="007C7176" w:rsidRDefault="007C7176">
      <w:pPr>
        <w:rPr>
          <w:lang w:val="es-ES"/>
        </w:rPr>
      </w:pPr>
      <w:r>
        <w:rPr>
          <w:lang w:val="es-ES"/>
        </w:rPr>
        <w:t xml:space="preserve">Ver estudio de </w:t>
      </w:r>
      <w:proofErr w:type="spellStart"/>
      <w:r>
        <w:rPr>
          <w:lang w:val="es-ES"/>
        </w:rPr>
        <w:t>Ingo</w:t>
      </w:r>
      <w:proofErr w:type="spellEnd"/>
      <w:r>
        <w:rPr>
          <w:lang w:val="es-ES"/>
        </w:rPr>
        <w:t xml:space="preserve"> von </w:t>
      </w:r>
      <w:proofErr w:type="spellStart"/>
      <w:r>
        <w:rPr>
          <w:lang w:val="es-ES"/>
        </w:rPr>
        <w:t>Munch</w:t>
      </w:r>
      <w:proofErr w:type="spellEnd"/>
      <w:r>
        <w:rPr>
          <w:lang w:val="es-ES"/>
        </w:rPr>
        <w:t xml:space="preserve"> (1979</w:t>
      </w:r>
      <w:proofErr w:type="gramStart"/>
      <w:r>
        <w:rPr>
          <w:lang w:val="es-ES"/>
        </w:rPr>
        <w:t>) ,</w:t>
      </w:r>
      <w:proofErr w:type="gramEnd"/>
      <w:r>
        <w:rPr>
          <w:lang w:val="es-ES"/>
        </w:rPr>
        <w:t xml:space="preserve"> traducido por Carlos E. </w:t>
      </w:r>
      <w:proofErr w:type="spellStart"/>
      <w:r>
        <w:rPr>
          <w:lang w:val="es-ES"/>
        </w:rPr>
        <w:t>Haller</w:t>
      </w:r>
      <w:proofErr w:type="spellEnd"/>
      <w:r>
        <w:rPr>
          <w:lang w:val="es-ES"/>
        </w:rPr>
        <w:t xml:space="preserve"> </w:t>
      </w:r>
      <w:hyperlink r:id="rId5" w:history="1">
        <w:r>
          <w:rPr>
            <w:rStyle w:val="Hipervnculo"/>
          </w:rPr>
          <w:t>http://arielrodo.weebly.com/uploads/1/7/0/4/17040520/von_mnch__amparo_constitucional.pdf</w:t>
        </w:r>
      </w:hyperlink>
    </w:p>
    <w:p w:rsidR="00A75C07" w:rsidRPr="00A75C07" w:rsidRDefault="00A75C07" w:rsidP="00A75C07">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Pr>
          <w:b/>
          <w:lang w:val="es-ES"/>
        </w:rPr>
        <w:t>Argentina:</w:t>
      </w:r>
      <w:r>
        <w:rPr>
          <w:lang w:val="es-ES"/>
        </w:rPr>
        <w:t xml:space="preserve"> </w:t>
      </w:r>
      <w:r w:rsidRPr="00A75C07">
        <w:rPr>
          <w:rFonts w:ascii="Arial" w:hAnsi="Arial" w:cs="Arial"/>
          <w:color w:val="1F497D" w:themeColor="text2"/>
          <w:sz w:val="22"/>
          <w:szCs w:val="22"/>
        </w:rPr>
        <w:t>Antes del año</w:t>
      </w:r>
      <w:r w:rsidRPr="00A75C07">
        <w:rPr>
          <w:rStyle w:val="apple-converted-space"/>
          <w:rFonts w:ascii="Arial" w:hAnsi="Arial" w:cs="Arial"/>
          <w:color w:val="1F497D" w:themeColor="text2"/>
          <w:sz w:val="22"/>
          <w:szCs w:val="22"/>
        </w:rPr>
        <w:t> </w:t>
      </w:r>
      <w:hyperlink r:id="rId6" w:tooltip="1957" w:history="1">
        <w:r w:rsidRPr="00A75C07">
          <w:rPr>
            <w:rStyle w:val="Hipervnculo"/>
            <w:rFonts w:ascii="Arial" w:hAnsi="Arial" w:cs="Arial"/>
            <w:color w:val="1F497D" w:themeColor="text2"/>
            <w:sz w:val="22"/>
            <w:szCs w:val="22"/>
            <w:u w:val="none"/>
          </w:rPr>
          <w:t>1957</w:t>
        </w:r>
      </w:hyperlink>
      <w:r w:rsidRPr="00A75C07">
        <w:rPr>
          <w:rFonts w:ascii="Arial" w:hAnsi="Arial" w:cs="Arial"/>
          <w:color w:val="1F497D" w:themeColor="text2"/>
          <w:sz w:val="22"/>
          <w:szCs w:val="22"/>
        </w:rPr>
        <w:t>, en la</w:t>
      </w:r>
      <w:r w:rsidRPr="00A75C07">
        <w:rPr>
          <w:rStyle w:val="apple-converted-space"/>
          <w:rFonts w:ascii="Arial" w:hAnsi="Arial" w:cs="Arial"/>
          <w:color w:val="1F497D" w:themeColor="text2"/>
          <w:sz w:val="22"/>
          <w:szCs w:val="22"/>
        </w:rPr>
        <w:t> </w:t>
      </w:r>
      <w:hyperlink r:id="rId7" w:tooltip="República Argentina" w:history="1">
        <w:r w:rsidRPr="00A75C07">
          <w:rPr>
            <w:rStyle w:val="Hipervnculo"/>
            <w:rFonts w:ascii="Arial" w:hAnsi="Arial" w:cs="Arial"/>
            <w:color w:val="1F497D" w:themeColor="text2"/>
            <w:sz w:val="22"/>
            <w:szCs w:val="22"/>
            <w:u w:val="none"/>
          </w:rPr>
          <w:t>República Argentina</w:t>
        </w:r>
      </w:hyperlink>
      <w:r w:rsidRPr="00A75C07">
        <w:rPr>
          <w:rStyle w:val="apple-converted-space"/>
          <w:rFonts w:ascii="Arial" w:hAnsi="Arial" w:cs="Arial"/>
          <w:color w:val="1F497D" w:themeColor="text2"/>
          <w:sz w:val="22"/>
          <w:szCs w:val="22"/>
        </w:rPr>
        <w:t> </w:t>
      </w:r>
      <w:r w:rsidRPr="00A75C07">
        <w:rPr>
          <w:rFonts w:ascii="Arial" w:hAnsi="Arial" w:cs="Arial"/>
          <w:color w:val="1F497D" w:themeColor="text2"/>
          <w:sz w:val="22"/>
          <w:szCs w:val="22"/>
        </w:rPr>
        <w:t>no existía esta acción hasta que la</w:t>
      </w:r>
      <w:r w:rsidRPr="00A75C07">
        <w:rPr>
          <w:rStyle w:val="apple-converted-space"/>
          <w:rFonts w:ascii="Arial" w:hAnsi="Arial" w:cs="Arial"/>
          <w:color w:val="1F497D" w:themeColor="text2"/>
          <w:sz w:val="22"/>
          <w:szCs w:val="22"/>
        </w:rPr>
        <w:t> </w:t>
      </w:r>
      <w:hyperlink r:id="rId8" w:tooltip="Corte Suprema de Justicia de la Nación" w:history="1">
        <w:r w:rsidRPr="00A75C07">
          <w:rPr>
            <w:rStyle w:val="Hipervnculo"/>
            <w:rFonts w:ascii="Arial" w:hAnsi="Arial" w:cs="Arial"/>
            <w:color w:val="1F497D" w:themeColor="text2"/>
            <w:sz w:val="22"/>
            <w:szCs w:val="22"/>
            <w:u w:val="none"/>
          </w:rPr>
          <w:t>Corte Suprema de Justicia de la Nación</w:t>
        </w:r>
      </w:hyperlink>
      <w:r w:rsidRPr="00A75C07">
        <w:rPr>
          <w:rStyle w:val="apple-converted-space"/>
          <w:rFonts w:ascii="Arial" w:hAnsi="Arial" w:cs="Arial"/>
          <w:color w:val="1F497D" w:themeColor="text2"/>
          <w:sz w:val="22"/>
          <w:szCs w:val="22"/>
        </w:rPr>
        <w:t> </w:t>
      </w:r>
      <w:r w:rsidRPr="00A75C07">
        <w:rPr>
          <w:rFonts w:ascii="Arial" w:hAnsi="Arial" w:cs="Arial"/>
          <w:color w:val="1F497D" w:themeColor="text2"/>
          <w:sz w:val="22"/>
          <w:szCs w:val="22"/>
        </w:rPr>
        <w:t>la introdujo en el caso "Siri"</w:t>
      </w:r>
      <w:hyperlink r:id="rId9" w:anchor="cite_note-5" w:history="1">
        <w:r w:rsidRPr="00A75C07">
          <w:rPr>
            <w:rStyle w:val="Hipervnculo"/>
            <w:rFonts w:ascii="Arial" w:hAnsi="Arial" w:cs="Arial"/>
            <w:color w:val="1F497D" w:themeColor="text2"/>
            <w:sz w:val="22"/>
            <w:szCs w:val="22"/>
            <w:u w:val="none"/>
            <w:vertAlign w:val="superscript"/>
          </w:rPr>
          <w:t>5</w:t>
        </w:r>
      </w:hyperlink>
      <w:r w:rsidRPr="00A75C07">
        <w:rPr>
          <w:rStyle w:val="apple-converted-space"/>
          <w:rFonts w:ascii="Arial" w:hAnsi="Arial" w:cs="Arial"/>
          <w:color w:val="1F497D" w:themeColor="text2"/>
          <w:sz w:val="22"/>
          <w:szCs w:val="22"/>
        </w:rPr>
        <w:t> </w:t>
      </w:r>
      <w:r w:rsidRPr="00A75C07">
        <w:rPr>
          <w:rFonts w:ascii="Arial" w:hAnsi="Arial" w:cs="Arial"/>
          <w:color w:val="1F497D" w:themeColor="text2"/>
          <w:sz w:val="22"/>
          <w:szCs w:val="22"/>
        </w:rPr>
        <w:t>con el antecedente del caso "San Miguel"</w:t>
      </w:r>
      <w:hyperlink r:id="rId10" w:anchor="cite_note-6" w:history="1">
        <w:r w:rsidRPr="00A75C07">
          <w:rPr>
            <w:rStyle w:val="Hipervnculo"/>
            <w:rFonts w:ascii="Arial" w:hAnsi="Arial" w:cs="Arial"/>
            <w:color w:val="1F497D" w:themeColor="text2"/>
            <w:sz w:val="22"/>
            <w:szCs w:val="22"/>
            <w:u w:val="none"/>
            <w:vertAlign w:val="superscript"/>
          </w:rPr>
          <w:t>6</w:t>
        </w:r>
      </w:hyperlink>
      <w:r w:rsidRPr="00A75C07">
        <w:rPr>
          <w:rStyle w:val="apple-converted-space"/>
          <w:rFonts w:ascii="Arial" w:hAnsi="Arial" w:cs="Arial"/>
          <w:color w:val="1F497D" w:themeColor="text2"/>
          <w:sz w:val="22"/>
          <w:szCs w:val="22"/>
        </w:rPr>
        <w:t> </w:t>
      </w:r>
      <w:r w:rsidRPr="00A75C07">
        <w:rPr>
          <w:rFonts w:ascii="Arial" w:hAnsi="Arial" w:cs="Arial"/>
          <w:color w:val="1F497D" w:themeColor="text2"/>
          <w:sz w:val="22"/>
          <w:szCs w:val="22"/>
        </w:rPr>
        <w:t>de 1950 con fallo en disidencia del Dr.</w:t>
      </w:r>
      <w:r w:rsidRPr="00A75C07">
        <w:rPr>
          <w:rStyle w:val="apple-converted-space"/>
          <w:rFonts w:ascii="Arial" w:hAnsi="Arial" w:cs="Arial"/>
          <w:color w:val="1F497D" w:themeColor="text2"/>
          <w:sz w:val="22"/>
          <w:szCs w:val="22"/>
        </w:rPr>
        <w:t> </w:t>
      </w:r>
      <w:hyperlink r:id="rId11" w:tooltip="Tomás D. Casares" w:history="1">
        <w:r w:rsidRPr="00A75C07">
          <w:rPr>
            <w:rStyle w:val="Hipervnculo"/>
            <w:rFonts w:ascii="Arial" w:hAnsi="Arial" w:cs="Arial"/>
            <w:color w:val="1F497D" w:themeColor="text2"/>
            <w:sz w:val="22"/>
            <w:szCs w:val="22"/>
            <w:u w:val="none"/>
          </w:rPr>
          <w:t>Tomás D. Casares</w:t>
        </w:r>
      </w:hyperlink>
      <w:r w:rsidRPr="00A75C07">
        <w:rPr>
          <w:rFonts w:ascii="Arial" w:hAnsi="Arial" w:cs="Arial"/>
          <w:color w:val="1F497D" w:themeColor="text2"/>
          <w:sz w:val="22"/>
          <w:szCs w:val="22"/>
        </w:rPr>
        <w:t>. Al año siguiente el caso "Kot"</w:t>
      </w:r>
      <w:hyperlink r:id="rId12" w:anchor="cite_note-7" w:history="1">
        <w:r w:rsidRPr="00A75C07">
          <w:rPr>
            <w:rStyle w:val="Hipervnculo"/>
            <w:rFonts w:ascii="Arial" w:hAnsi="Arial" w:cs="Arial"/>
            <w:color w:val="1F497D" w:themeColor="text2"/>
            <w:sz w:val="22"/>
            <w:szCs w:val="22"/>
            <w:u w:val="none"/>
            <w:vertAlign w:val="superscript"/>
          </w:rPr>
          <w:t>7</w:t>
        </w:r>
      </w:hyperlink>
      <w:r w:rsidRPr="00A75C07">
        <w:rPr>
          <w:rStyle w:val="apple-converted-space"/>
          <w:rFonts w:ascii="Arial" w:hAnsi="Arial" w:cs="Arial"/>
          <w:color w:val="1F497D" w:themeColor="text2"/>
          <w:sz w:val="22"/>
          <w:szCs w:val="22"/>
        </w:rPr>
        <w:t> </w:t>
      </w:r>
      <w:r w:rsidRPr="00A75C07">
        <w:rPr>
          <w:rFonts w:ascii="Arial" w:hAnsi="Arial" w:cs="Arial"/>
          <w:color w:val="1F497D" w:themeColor="text2"/>
          <w:sz w:val="22"/>
          <w:szCs w:val="22"/>
        </w:rPr>
        <w:t>añadió nuevos elementos de procedencia del amparo. Es entonces, a partir del año</w:t>
      </w:r>
      <w:r w:rsidRPr="00A75C07">
        <w:rPr>
          <w:rStyle w:val="apple-converted-space"/>
          <w:rFonts w:ascii="Arial" w:hAnsi="Arial" w:cs="Arial"/>
          <w:color w:val="1F497D" w:themeColor="text2"/>
          <w:sz w:val="22"/>
          <w:szCs w:val="22"/>
        </w:rPr>
        <w:t> </w:t>
      </w:r>
      <w:hyperlink r:id="rId13" w:tooltip="1957" w:history="1">
        <w:r w:rsidRPr="00A75C07">
          <w:rPr>
            <w:rStyle w:val="Hipervnculo"/>
            <w:rFonts w:ascii="Arial" w:hAnsi="Arial" w:cs="Arial"/>
            <w:color w:val="1F497D" w:themeColor="text2"/>
            <w:sz w:val="22"/>
            <w:szCs w:val="22"/>
            <w:u w:val="none"/>
          </w:rPr>
          <w:t>1957</w:t>
        </w:r>
      </w:hyperlink>
      <w:r w:rsidRPr="00A75C07">
        <w:rPr>
          <w:rFonts w:ascii="Arial" w:hAnsi="Arial" w:cs="Arial"/>
          <w:color w:val="1F497D" w:themeColor="text2"/>
          <w:sz w:val="22"/>
          <w:szCs w:val="22"/>
        </w:rPr>
        <w:t>, sin existir ley alguna en el orden federal, que el amparo quedó reconocido -pretorianamente- como una garantía arraigada en la</w:t>
      </w:r>
      <w:r w:rsidRPr="00A75C07">
        <w:rPr>
          <w:rStyle w:val="apple-converted-space"/>
          <w:rFonts w:ascii="Arial" w:hAnsi="Arial" w:cs="Arial"/>
          <w:color w:val="1F497D" w:themeColor="text2"/>
          <w:sz w:val="22"/>
          <w:szCs w:val="22"/>
        </w:rPr>
        <w:t> </w:t>
      </w:r>
      <w:hyperlink r:id="rId14" w:tooltip="Constitución de la Nación Argentina" w:history="1">
        <w:r w:rsidRPr="00A75C07">
          <w:rPr>
            <w:rStyle w:val="Hipervnculo"/>
            <w:rFonts w:ascii="Arial" w:hAnsi="Arial" w:cs="Arial"/>
            <w:color w:val="1F497D" w:themeColor="text2"/>
            <w:sz w:val="22"/>
            <w:szCs w:val="22"/>
            <w:u w:val="none"/>
          </w:rPr>
          <w:t>Constitución Nacional</w:t>
        </w:r>
      </w:hyperlink>
      <w:r w:rsidRPr="00A75C07">
        <w:rPr>
          <w:rFonts w:ascii="Arial" w:hAnsi="Arial" w:cs="Arial"/>
          <w:color w:val="1F497D" w:themeColor="text2"/>
          <w:sz w:val="22"/>
          <w:szCs w:val="22"/>
        </w:rPr>
        <w:t>.</w:t>
      </w:r>
    </w:p>
    <w:p w:rsidR="00A75C07" w:rsidRPr="00A75C07" w:rsidRDefault="00A75C07" w:rsidP="00A75C07">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A75C07">
        <w:rPr>
          <w:rFonts w:ascii="Arial" w:hAnsi="Arial" w:cs="Arial"/>
          <w:color w:val="1F497D" w:themeColor="text2"/>
          <w:sz w:val="22"/>
          <w:szCs w:val="22"/>
        </w:rPr>
        <w:t>En</w:t>
      </w:r>
      <w:r w:rsidRPr="00A75C07">
        <w:rPr>
          <w:rStyle w:val="apple-converted-space"/>
          <w:rFonts w:ascii="Arial" w:hAnsi="Arial" w:cs="Arial"/>
          <w:color w:val="1F497D" w:themeColor="text2"/>
          <w:sz w:val="22"/>
          <w:szCs w:val="22"/>
        </w:rPr>
        <w:t> </w:t>
      </w:r>
      <w:hyperlink r:id="rId15" w:tooltip="1966" w:history="1">
        <w:r w:rsidRPr="00A75C07">
          <w:rPr>
            <w:rStyle w:val="Hipervnculo"/>
            <w:rFonts w:ascii="Arial" w:hAnsi="Arial" w:cs="Arial"/>
            <w:color w:val="1F497D" w:themeColor="text2"/>
            <w:sz w:val="22"/>
            <w:szCs w:val="22"/>
            <w:u w:val="none"/>
          </w:rPr>
          <w:t>1966</w:t>
        </w:r>
      </w:hyperlink>
      <w:r w:rsidRPr="00A75C07">
        <w:rPr>
          <w:rFonts w:ascii="Arial" w:hAnsi="Arial" w:cs="Arial"/>
          <w:color w:val="1F497D" w:themeColor="text2"/>
          <w:sz w:val="22"/>
          <w:szCs w:val="22"/>
        </w:rPr>
        <w:t>, se dicta la ley 16.986, sobre amparo contra actos estatales, y en</w:t>
      </w:r>
      <w:r w:rsidRPr="00A75C07">
        <w:rPr>
          <w:rStyle w:val="apple-converted-space"/>
          <w:rFonts w:ascii="Arial" w:hAnsi="Arial" w:cs="Arial"/>
          <w:color w:val="1F497D" w:themeColor="text2"/>
          <w:sz w:val="22"/>
          <w:szCs w:val="22"/>
        </w:rPr>
        <w:t> </w:t>
      </w:r>
      <w:hyperlink r:id="rId16" w:tooltip="1968" w:history="1">
        <w:r w:rsidRPr="00A75C07">
          <w:rPr>
            <w:rStyle w:val="Hipervnculo"/>
            <w:rFonts w:ascii="Arial" w:hAnsi="Arial" w:cs="Arial"/>
            <w:color w:val="1F497D" w:themeColor="text2"/>
            <w:sz w:val="22"/>
            <w:szCs w:val="22"/>
            <w:u w:val="none"/>
          </w:rPr>
          <w:t>1968</w:t>
        </w:r>
      </w:hyperlink>
      <w:r w:rsidRPr="00A75C07">
        <w:rPr>
          <w:rStyle w:val="apple-converted-space"/>
          <w:rFonts w:ascii="Arial" w:hAnsi="Arial" w:cs="Arial"/>
          <w:color w:val="1F497D" w:themeColor="text2"/>
          <w:sz w:val="22"/>
          <w:szCs w:val="22"/>
        </w:rPr>
        <w:t> </w:t>
      </w:r>
      <w:r w:rsidRPr="00A75C07">
        <w:rPr>
          <w:rFonts w:ascii="Arial" w:hAnsi="Arial" w:cs="Arial"/>
          <w:color w:val="1F497D" w:themeColor="text2"/>
          <w:sz w:val="22"/>
          <w:szCs w:val="22"/>
        </w:rPr>
        <w:t>-por la ley 17.454- se incorporó al Código Procesal Civil y Comercial de la Nación el amparo contra actos de los particulares.</w:t>
      </w:r>
    </w:p>
    <w:p w:rsidR="00A75C07" w:rsidRPr="00A75C07" w:rsidRDefault="00A75C07" w:rsidP="00A75C07">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A75C07">
        <w:rPr>
          <w:rFonts w:ascii="Arial" w:hAnsi="Arial" w:cs="Arial"/>
          <w:color w:val="1F497D" w:themeColor="text2"/>
          <w:sz w:val="22"/>
          <w:szCs w:val="22"/>
        </w:rPr>
        <w:t>Finalmente, la acción de amparo recibió rango constitucional, cuando fue introducida en la Constitución Nacional en la reforma de 1994, creándose un Segundo Capítulo en la Primera Parte de la misma, titulado</w:t>
      </w:r>
      <w:r w:rsidRPr="00A75C07">
        <w:rPr>
          <w:rStyle w:val="apple-converted-space"/>
          <w:rFonts w:ascii="Arial" w:hAnsi="Arial" w:cs="Arial"/>
          <w:color w:val="1F497D" w:themeColor="text2"/>
          <w:sz w:val="22"/>
          <w:szCs w:val="22"/>
        </w:rPr>
        <w:t> </w:t>
      </w:r>
      <w:r w:rsidRPr="00A75C07">
        <w:rPr>
          <w:rFonts w:ascii="Arial" w:hAnsi="Arial" w:cs="Arial"/>
          <w:i/>
          <w:iCs/>
          <w:color w:val="1F497D" w:themeColor="text2"/>
          <w:sz w:val="22"/>
          <w:szCs w:val="22"/>
        </w:rPr>
        <w:t>Nuevos derechos y garantías</w:t>
      </w:r>
      <w:r w:rsidRPr="00A75C07">
        <w:rPr>
          <w:rFonts w:ascii="Arial" w:hAnsi="Arial" w:cs="Arial"/>
          <w:color w:val="1F497D" w:themeColor="text2"/>
          <w:sz w:val="22"/>
          <w:szCs w:val="22"/>
        </w:rPr>
        <w:t>.</w:t>
      </w:r>
    </w:p>
    <w:p w:rsidR="00A75C07" w:rsidRPr="00A75C07" w:rsidRDefault="00A75C07" w:rsidP="00A75C07">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A75C07">
        <w:rPr>
          <w:rFonts w:ascii="Arial" w:hAnsi="Arial" w:cs="Arial"/>
          <w:i/>
          <w:iCs/>
          <w:color w:val="1F497D" w:themeColor="text2"/>
          <w:sz w:val="22"/>
          <w:szCs w:val="22"/>
        </w:rPr>
        <w:t>Artículo 43 (primer párrafo): 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w:t>
      </w:r>
      <w:r w:rsidRPr="00A75C07">
        <w:rPr>
          <w:rFonts w:ascii="Arial" w:hAnsi="Arial" w:cs="Arial"/>
          <w:color w:val="1F497D" w:themeColor="text2"/>
          <w:sz w:val="22"/>
          <w:szCs w:val="22"/>
        </w:rPr>
        <w:t>.</w:t>
      </w:r>
      <w:hyperlink r:id="rId17" w:anchor="cite_note-8" w:history="1">
        <w:r w:rsidRPr="00A75C07">
          <w:rPr>
            <w:rStyle w:val="Hipervnculo"/>
            <w:rFonts w:ascii="Arial" w:hAnsi="Arial" w:cs="Arial"/>
            <w:color w:val="1F497D" w:themeColor="text2"/>
            <w:sz w:val="22"/>
            <w:szCs w:val="22"/>
            <w:u w:val="none"/>
            <w:vertAlign w:val="superscript"/>
          </w:rPr>
          <w:t>8</w:t>
        </w:r>
      </w:hyperlink>
    </w:p>
    <w:p w:rsidR="00A75C07" w:rsidRDefault="00A75C07" w:rsidP="00A75C07">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sidRPr="00A75C07">
        <w:rPr>
          <w:rFonts w:ascii="Arial" w:hAnsi="Arial" w:cs="Arial"/>
          <w:color w:val="1F497D" w:themeColor="text2"/>
          <w:sz w:val="22"/>
          <w:szCs w:val="22"/>
        </w:rPr>
        <w:t>A esto cabe agregarle las numerosas Constituciones y leyes</w:t>
      </w:r>
      <w:r w:rsidRPr="00A75C07">
        <w:rPr>
          <w:rStyle w:val="apple-converted-space"/>
          <w:rFonts w:ascii="Arial" w:hAnsi="Arial" w:cs="Arial"/>
          <w:color w:val="1F497D" w:themeColor="text2"/>
          <w:sz w:val="22"/>
          <w:szCs w:val="22"/>
        </w:rPr>
        <w:t> </w:t>
      </w:r>
      <w:hyperlink r:id="rId18" w:tooltip="Provincias de Argentina" w:history="1">
        <w:r w:rsidRPr="00A75C07">
          <w:rPr>
            <w:rStyle w:val="Hipervnculo"/>
            <w:rFonts w:ascii="Arial" w:hAnsi="Arial" w:cs="Arial"/>
            <w:color w:val="1F497D" w:themeColor="text2"/>
            <w:sz w:val="22"/>
            <w:szCs w:val="22"/>
            <w:u w:val="none"/>
          </w:rPr>
          <w:t>provinciales</w:t>
        </w:r>
      </w:hyperlink>
      <w:r w:rsidRPr="00A75C07">
        <w:rPr>
          <w:rStyle w:val="apple-converted-space"/>
          <w:rFonts w:ascii="Arial" w:hAnsi="Arial" w:cs="Arial"/>
          <w:color w:val="1F497D" w:themeColor="text2"/>
          <w:sz w:val="22"/>
          <w:szCs w:val="22"/>
        </w:rPr>
        <w:t> </w:t>
      </w:r>
      <w:r w:rsidRPr="00A75C07">
        <w:rPr>
          <w:rFonts w:ascii="Arial" w:hAnsi="Arial" w:cs="Arial"/>
          <w:color w:val="1F497D" w:themeColor="text2"/>
          <w:sz w:val="22"/>
          <w:szCs w:val="22"/>
        </w:rPr>
        <w:t>que regulan esta garantía en sus respectivas jurisdicciones.</w:t>
      </w:r>
    </w:p>
    <w:p w:rsidR="00A75C07" w:rsidRPr="00A75C07" w:rsidRDefault="00A75C07" w:rsidP="00A75C07">
      <w:pPr>
        <w:numPr>
          <w:ilvl w:val="0"/>
          <w:numId w:val="1"/>
        </w:numPr>
        <w:shd w:val="clear" w:color="auto" w:fill="FFFFFF"/>
        <w:spacing w:before="100" w:beforeAutospacing="1" w:after="24" w:line="249" w:lineRule="atLeast"/>
        <w:ind w:left="384"/>
        <w:rPr>
          <w:rFonts w:ascii="Arial" w:eastAsia="Times New Roman" w:hAnsi="Arial" w:cs="Arial"/>
          <w:color w:val="000000"/>
          <w:lang w:eastAsia="es-AR"/>
        </w:rPr>
      </w:pPr>
      <w:r w:rsidRPr="00A75C07">
        <w:rPr>
          <w:rFonts w:ascii="Arial" w:eastAsia="Times New Roman" w:hAnsi="Arial" w:cs="Arial"/>
          <w:color w:val="000000"/>
          <w:lang w:eastAsia="es-AR"/>
        </w:rPr>
        <w:t xml:space="preserve">Los que se oponen al criterio de que el amparo sea considerado un recurso, sostienen que un recurso se plantea siempre al interior de un proceso; mientras que el amparo no busca corregir malos procedimientos o realizar una correcta interpretación de las normas vigentes dentro de un proceso o </w:t>
      </w:r>
      <w:proofErr w:type="spellStart"/>
      <w:r w:rsidRPr="00A75C07">
        <w:rPr>
          <w:rFonts w:ascii="Arial" w:eastAsia="Times New Roman" w:hAnsi="Arial" w:cs="Arial"/>
          <w:color w:val="000000"/>
          <w:lang w:eastAsia="es-AR"/>
        </w:rPr>
        <w:t>litis</w:t>
      </w:r>
      <w:proofErr w:type="spellEnd"/>
      <w:r w:rsidRPr="00A75C07">
        <w:rPr>
          <w:rFonts w:ascii="Arial" w:eastAsia="Times New Roman" w:hAnsi="Arial" w:cs="Arial"/>
          <w:color w:val="000000"/>
          <w:lang w:eastAsia="es-AR"/>
        </w:rPr>
        <w:t>, sino busca proteger los derechos fundamentales de las personas. Asimismo, para fortalecer esta posición se sostiene que los recursos solo proceden contra autoridades mientras que el amparo procede también contra particulares.</w:t>
      </w:r>
    </w:p>
    <w:p w:rsidR="00A75C07" w:rsidRPr="00A75C07" w:rsidRDefault="00A75C07" w:rsidP="00A75C07">
      <w:pPr>
        <w:numPr>
          <w:ilvl w:val="0"/>
          <w:numId w:val="2"/>
        </w:numPr>
        <w:shd w:val="clear" w:color="auto" w:fill="FFFFFF"/>
        <w:spacing w:before="100" w:beforeAutospacing="1" w:after="24" w:line="249" w:lineRule="atLeast"/>
        <w:ind w:left="384"/>
        <w:rPr>
          <w:rFonts w:ascii="Arial" w:eastAsia="Times New Roman" w:hAnsi="Arial" w:cs="Arial"/>
          <w:color w:val="000000"/>
          <w:lang w:eastAsia="es-AR"/>
        </w:rPr>
      </w:pPr>
      <w:r w:rsidRPr="00A75C07">
        <w:rPr>
          <w:rFonts w:ascii="Arial" w:eastAsia="Times New Roman" w:hAnsi="Arial" w:cs="Arial"/>
          <w:color w:val="000000"/>
          <w:lang w:eastAsia="es-AR"/>
        </w:rPr>
        <w:t xml:space="preserve">En base a lo anteriormente sostenido, en México </w:t>
      </w:r>
      <w:proofErr w:type="spellStart"/>
      <w:r w:rsidRPr="00A75C07">
        <w:rPr>
          <w:rFonts w:ascii="Arial" w:eastAsia="Times New Roman" w:hAnsi="Arial" w:cs="Arial"/>
          <w:color w:val="000000"/>
          <w:lang w:eastAsia="es-AR"/>
        </w:rPr>
        <w:t>Fix</w:t>
      </w:r>
      <w:proofErr w:type="spellEnd"/>
      <w:r w:rsidRPr="00A75C07">
        <w:rPr>
          <w:rFonts w:ascii="Arial" w:eastAsia="Times New Roman" w:hAnsi="Arial" w:cs="Arial"/>
          <w:color w:val="000000"/>
          <w:lang w:eastAsia="es-AR"/>
        </w:rPr>
        <w:t xml:space="preserve"> </w:t>
      </w:r>
      <w:proofErr w:type="spellStart"/>
      <w:r w:rsidRPr="00A75C07">
        <w:rPr>
          <w:rFonts w:ascii="Arial" w:eastAsia="Times New Roman" w:hAnsi="Arial" w:cs="Arial"/>
          <w:color w:val="000000"/>
          <w:lang w:eastAsia="es-AR"/>
        </w:rPr>
        <w:t>Zamudio</w:t>
      </w:r>
      <w:proofErr w:type="spellEnd"/>
      <w:r w:rsidRPr="00A75C07">
        <w:rPr>
          <w:rFonts w:ascii="Arial" w:eastAsia="Times New Roman" w:hAnsi="Arial" w:cs="Arial"/>
          <w:color w:val="000000"/>
          <w:lang w:eastAsia="es-AR"/>
        </w:rPr>
        <w:t xml:space="preserve"> y Jorge Carpizo sostuvieron que es un juicio, en Argentina Sánchez </w:t>
      </w:r>
      <w:proofErr w:type="spellStart"/>
      <w:r w:rsidRPr="00A75C07">
        <w:rPr>
          <w:rFonts w:ascii="Arial" w:eastAsia="Times New Roman" w:hAnsi="Arial" w:cs="Arial"/>
          <w:color w:val="000000"/>
          <w:lang w:eastAsia="es-AR"/>
        </w:rPr>
        <w:t>Viamonte</w:t>
      </w:r>
      <w:proofErr w:type="spellEnd"/>
      <w:r w:rsidRPr="00A75C07">
        <w:rPr>
          <w:rFonts w:ascii="Arial" w:eastAsia="Times New Roman" w:hAnsi="Arial" w:cs="Arial"/>
          <w:color w:val="000000"/>
          <w:lang w:eastAsia="es-AR"/>
        </w:rPr>
        <w:t>, Linares Quintana sostuvieron que es una acción procesal; mientras que, en España se tiene que la mayoría de los procesalistas sostienen que es proceso sustantivo e independiente.</w:t>
      </w:r>
    </w:p>
    <w:p w:rsidR="00A75C07" w:rsidRPr="00A75C07" w:rsidRDefault="00A75C07" w:rsidP="00A75C07">
      <w:pPr>
        <w:numPr>
          <w:ilvl w:val="0"/>
          <w:numId w:val="3"/>
        </w:numPr>
        <w:shd w:val="clear" w:color="auto" w:fill="FFFFFF"/>
        <w:spacing w:before="100" w:beforeAutospacing="1" w:after="24" w:line="249" w:lineRule="atLeast"/>
        <w:ind w:left="384"/>
        <w:rPr>
          <w:rFonts w:ascii="Arial" w:eastAsia="Times New Roman" w:hAnsi="Arial" w:cs="Arial"/>
          <w:color w:val="000000"/>
          <w:lang w:eastAsia="es-AR"/>
        </w:rPr>
      </w:pPr>
      <w:r w:rsidRPr="00A75C07">
        <w:rPr>
          <w:rFonts w:ascii="Arial" w:eastAsia="Times New Roman" w:hAnsi="Arial" w:cs="Arial"/>
          <w:color w:val="000000"/>
          <w:lang w:eastAsia="es-AR"/>
        </w:rPr>
        <w:t xml:space="preserve">Por su parte, </w:t>
      </w:r>
      <w:proofErr w:type="spellStart"/>
      <w:r w:rsidRPr="00A75C07">
        <w:rPr>
          <w:rFonts w:ascii="Arial" w:eastAsia="Times New Roman" w:hAnsi="Arial" w:cs="Arial"/>
          <w:color w:val="000000"/>
          <w:lang w:eastAsia="es-AR"/>
        </w:rPr>
        <w:t>Bidart</w:t>
      </w:r>
      <w:proofErr w:type="spellEnd"/>
      <w:r w:rsidRPr="00A75C07">
        <w:rPr>
          <w:rFonts w:ascii="Arial" w:eastAsia="Times New Roman" w:hAnsi="Arial" w:cs="Arial"/>
          <w:color w:val="000000"/>
          <w:lang w:eastAsia="es-AR"/>
        </w:rPr>
        <w:t xml:space="preserve"> Campos indica que hay derechos que protegen otros derechos y se los llama garantías y que entre estas garantías que se constituyen como derechos se encuentra el amparo.</w:t>
      </w:r>
    </w:p>
    <w:p w:rsidR="00A75C07" w:rsidRDefault="00A75C07" w:rsidP="00A75C07">
      <w:pPr>
        <w:numPr>
          <w:ilvl w:val="0"/>
          <w:numId w:val="4"/>
        </w:numPr>
        <w:shd w:val="clear" w:color="auto" w:fill="FFFFFF"/>
        <w:spacing w:before="100" w:beforeAutospacing="1" w:after="24" w:line="249" w:lineRule="atLeast"/>
        <w:ind w:left="384"/>
        <w:rPr>
          <w:rFonts w:ascii="Arial" w:eastAsia="Times New Roman" w:hAnsi="Arial" w:cs="Arial"/>
          <w:color w:val="000000"/>
          <w:lang w:eastAsia="es-AR"/>
        </w:rPr>
      </w:pPr>
      <w:r w:rsidRPr="00A75C07">
        <w:rPr>
          <w:rFonts w:ascii="Arial" w:eastAsia="Times New Roman" w:hAnsi="Arial" w:cs="Arial"/>
          <w:color w:val="000000"/>
          <w:lang w:eastAsia="es-AR"/>
        </w:rPr>
        <w:t xml:space="preserve">La posición que el amparo es un derecho está fortalecida en el hecho que se encuentra reconocido en los Tratados de Derechos Humanos; así por ejemplo, respecto al art. 25.1 de la Convención Americana de Derechos Humanos la Corte Interamericana de Derechos Humanos en la Opinión Consultiva 8/87, sostuvo que: “…es una disposición de carácter general que recoge la institución procesal del amparo, entendido como el procedimiento judicial sencillo y breve que tiene por objeto la tutela de todos los derechos reconocidos por </w:t>
      </w:r>
      <w:r w:rsidRPr="00A75C07">
        <w:rPr>
          <w:rFonts w:ascii="Arial" w:eastAsia="Times New Roman" w:hAnsi="Arial" w:cs="Arial"/>
          <w:color w:val="000000"/>
          <w:lang w:eastAsia="es-AR"/>
        </w:rPr>
        <w:lastRenderedPageBreak/>
        <w:t>las constituciones y leyes de los Estados Partes y por la Convención....”, cuya existencia no sólo debe ser formal (en el texto escrito), sino que debe resultar idóneo para proteger los derechos humanos (en la práctica).</w:t>
      </w:r>
    </w:p>
    <w:p w:rsidR="0012789C" w:rsidRDefault="0012789C" w:rsidP="00A75C07">
      <w:pPr>
        <w:numPr>
          <w:ilvl w:val="0"/>
          <w:numId w:val="4"/>
        </w:numPr>
        <w:shd w:val="clear" w:color="auto" w:fill="FFFFFF"/>
        <w:spacing w:before="100" w:beforeAutospacing="1" w:after="24" w:line="249" w:lineRule="atLeast"/>
        <w:ind w:left="384"/>
        <w:rPr>
          <w:rFonts w:ascii="Arial" w:eastAsia="Times New Roman" w:hAnsi="Arial" w:cs="Arial"/>
          <w:color w:val="000000"/>
          <w:lang w:eastAsia="es-AR"/>
        </w:rPr>
      </w:pPr>
    </w:p>
    <w:p w:rsidR="00DF1868" w:rsidRPr="00DF1868" w:rsidRDefault="00DF1868" w:rsidP="00DF1868">
      <w:pPr>
        <w:pStyle w:val="NormalWeb"/>
        <w:shd w:val="clear" w:color="auto" w:fill="FFFFFF"/>
        <w:spacing w:before="96" w:beforeAutospacing="0" w:after="120" w:afterAutospacing="0" w:line="249" w:lineRule="atLeast"/>
        <w:rPr>
          <w:rFonts w:ascii="Arial" w:hAnsi="Arial" w:cs="Arial"/>
          <w:color w:val="1F497D" w:themeColor="text2"/>
          <w:sz w:val="22"/>
          <w:szCs w:val="22"/>
        </w:rPr>
      </w:pPr>
      <w:r>
        <w:rPr>
          <w:rFonts w:ascii="Arial" w:hAnsi="Arial" w:cs="Arial"/>
          <w:b/>
          <w:color w:val="000000"/>
        </w:rPr>
        <w:t xml:space="preserve">Alemania, </w:t>
      </w:r>
      <w:proofErr w:type="spellStart"/>
      <w:r>
        <w:rPr>
          <w:rFonts w:ascii="Arial" w:hAnsi="Arial" w:cs="Arial"/>
          <w:b/>
          <w:color w:val="000000"/>
        </w:rPr>
        <w:t>Bundesrepublik</w:t>
      </w:r>
      <w:proofErr w:type="spellEnd"/>
      <w:r>
        <w:rPr>
          <w:rFonts w:ascii="Arial" w:hAnsi="Arial" w:cs="Arial"/>
          <w:b/>
          <w:color w:val="000000"/>
        </w:rPr>
        <w:t xml:space="preserve"> </w:t>
      </w:r>
      <w:proofErr w:type="spellStart"/>
      <w:r>
        <w:rPr>
          <w:rFonts w:ascii="Arial" w:hAnsi="Arial" w:cs="Arial"/>
          <w:b/>
          <w:color w:val="000000"/>
        </w:rPr>
        <w:t>Deutschland</w:t>
      </w:r>
      <w:proofErr w:type="spellEnd"/>
      <w:r>
        <w:rPr>
          <w:rFonts w:ascii="Arial" w:hAnsi="Arial" w:cs="Arial"/>
          <w:b/>
          <w:color w:val="000000"/>
        </w:rPr>
        <w:t>:</w:t>
      </w:r>
      <w:r>
        <w:rPr>
          <w:rFonts w:ascii="Arial" w:hAnsi="Arial" w:cs="Arial"/>
          <w:color w:val="000000"/>
        </w:rPr>
        <w:t xml:space="preserve"> </w:t>
      </w:r>
      <w:r w:rsidRPr="00DF1868">
        <w:rPr>
          <w:rFonts w:ascii="Arial" w:hAnsi="Arial" w:cs="Arial"/>
          <w:color w:val="1F497D" w:themeColor="text2"/>
          <w:sz w:val="22"/>
          <w:szCs w:val="22"/>
        </w:rPr>
        <w:t>Las funciones del Tribunal Constitucional Federal están enumeradas en la </w:t>
      </w:r>
      <w:hyperlink r:id="rId19" w:tooltip="Grundgesetz" w:history="1">
        <w:r w:rsidRPr="00DF1868">
          <w:rPr>
            <w:rFonts w:ascii="Arial" w:hAnsi="Arial" w:cs="Arial"/>
            <w:color w:val="1F497D" w:themeColor="text2"/>
            <w:sz w:val="22"/>
            <w:szCs w:val="22"/>
          </w:rPr>
          <w:t>Constitución alemana</w:t>
        </w:r>
      </w:hyperlink>
      <w:r w:rsidRPr="00DF1868">
        <w:rPr>
          <w:rFonts w:ascii="Arial" w:hAnsi="Arial" w:cs="Arial"/>
          <w:color w:val="1F497D" w:themeColor="text2"/>
          <w:sz w:val="22"/>
          <w:szCs w:val="22"/>
        </w:rPr>
        <w:t> y el §13 de la Ley Orgánica del Tribunal Constitucional y se limitan a las áreas de derecho constitucional e internacional. Además de sus funciones a escala federal puede ser competente en litigios sobre la interpretación de la constitución de un </w:t>
      </w:r>
      <w:hyperlink r:id="rId20" w:tooltip="Organización territorial de Alemania" w:history="1">
        <w:r w:rsidRPr="00DF1868">
          <w:rPr>
            <w:rFonts w:ascii="Arial" w:hAnsi="Arial" w:cs="Arial"/>
            <w:color w:val="1F497D" w:themeColor="text2"/>
            <w:sz w:val="22"/>
            <w:szCs w:val="22"/>
          </w:rPr>
          <w:t>estado federado</w:t>
        </w:r>
      </w:hyperlink>
      <w:r w:rsidRPr="00DF1868">
        <w:rPr>
          <w:rFonts w:ascii="Arial" w:hAnsi="Arial" w:cs="Arial"/>
          <w:color w:val="1F497D" w:themeColor="text2"/>
          <w:sz w:val="22"/>
          <w:szCs w:val="22"/>
        </w:rPr>
        <w:t>, siempre que la constitución de este estado federado lo prevea (como, por ejemplo, </w:t>
      </w:r>
      <w:hyperlink r:id="rId21" w:tooltip="Schleswig-Holstein" w:history="1">
        <w:r w:rsidRPr="00DF1868">
          <w:rPr>
            <w:rFonts w:ascii="Arial" w:hAnsi="Arial" w:cs="Arial"/>
            <w:color w:val="1F497D" w:themeColor="text2"/>
            <w:sz w:val="22"/>
            <w:szCs w:val="22"/>
          </w:rPr>
          <w:t>Schleswig-Holstein</w:t>
        </w:r>
      </w:hyperlink>
      <w:r w:rsidRPr="00DF1868">
        <w:rPr>
          <w:rFonts w:ascii="Arial" w:hAnsi="Arial" w:cs="Arial"/>
          <w:color w:val="1F497D" w:themeColor="text2"/>
          <w:sz w:val="22"/>
          <w:szCs w:val="22"/>
        </w:rPr>
        <w:t>). El Tribunal Constitucional Federal no es competente en litigios que se refieran a la </w:t>
      </w:r>
      <w:hyperlink r:id="rId22" w:tooltip="Unión Europea" w:history="1">
        <w:r w:rsidRPr="00DF1868">
          <w:rPr>
            <w:rFonts w:ascii="Arial" w:hAnsi="Arial" w:cs="Arial"/>
            <w:color w:val="1F497D" w:themeColor="text2"/>
            <w:sz w:val="22"/>
            <w:szCs w:val="22"/>
          </w:rPr>
          <w:t>Unión Europea</w:t>
        </w:r>
      </w:hyperlink>
      <w:r w:rsidRPr="00DF1868">
        <w:rPr>
          <w:rFonts w:ascii="Arial" w:hAnsi="Arial" w:cs="Arial"/>
          <w:color w:val="1F497D" w:themeColor="text2"/>
          <w:sz w:val="22"/>
          <w:szCs w:val="22"/>
        </w:rPr>
        <w:t> o sus tratados (competencia exclusiva del </w:t>
      </w:r>
      <w:hyperlink r:id="rId23" w:tooltip="Tribunal de Justicia de la Unión Europea" w:history="1">
        <w:r w:rsidRPr="00DF1868">
          <w:rPr>
            <w:rFonts w:ascii="Arial" w:hAnsi="Arial" w:cs="Arial"/>
            <w:color w:val="1F497D" w:themeColor="text2"/>
            <w:sz w:val="22"/>
            <w:szCs w:val="22"/>
          </w:rPr>
          <w:t>Tribunal de Justicia de la Unión Europea</w:t>
        </w:r>
      </w:hyperlink>
      <w:r w:rsidRPr="00DF1868">
        <w:rPr>
          <w:rFonts w:ascii="Arial" w:hAnsi="Arial" w:cs="Arial"/>
          <w:color w:val="1F497D" w:themeColor="text2"/>
          <w:sz w:val="22"/>
          <w:szCs w:val="22"/>
        </w:rPr>
        <w:t>), excepto cuando éstos afectan también a la interpretación de la Constitución alemana.</w:t>
      </w:r>
    </w:p>
    <w:p w:rsidR="00DF1868" w:rsidRPr="00DF1868" w:rsidRDefault="00DF1868" w:rsidP="00DF1868">
      <w:pPr>
        <w:shd w:val="clear" w:color="auto" w:fill="FFFFFF"/>
        <w:spacing w:before="96" w:after="120" w:line="249" w:lineRule="atLeast"/>
        <w:rPr>
          <w:rFonts w:ascii="Arial" w:eastAsia="Times New Roman" w:hAnsi="Arial" w:cs="Arial"/>
          <w:color w:val="1F497D" w:themeColor="text2"/>
          <w:lang w:eastAsia="es-AR"/>
        </w:rPr>
      </w:pPr>
      <w:r w:rsidRPr="00DF1868">
        <w:rPr>
          <w:rFonts w:ascii="Arial" w:eastAsia="Times New Roman" w:hAnsi="Arial" w:cs="Arial"/>
          <w:color w:val="1F497D" w:themeColor="text2"/>
          <w:lang w:eastAsia="es-AR"/>
        </w:rPr>
        <w:t>Las funciones principales del Tribunal Constitucional Federal son:</w:t>
      </w:r>
    </w:p>
    <w:p w:rsidR="00DF1868" w:rsidRPr="00DF1868" w:rsidRDefault="00DF1868" w:rsidP="00DF1868">
      <w:pPr>
        <w:numPr>
          <w:ilvl w:val="0"/>
          <w:numId w:val="5"/>
        </w:numPr>
        <w:shd w:val="clear" w:color="auto" w:fill="FFFFFF"/>
        <w:spacing w:before="100" w:beforeAutospacing="1" w:after="24" w:line="249" w:lineRule="atLeast"/>
        <w:ind w:left="384"/>
        <w:rPr>
          <w:rFonts w:ascii="Arial" w:eastAsia="Times New Roman" w:hAnsi="Arial" w:cs="Arial"/>
          <w:color w:val="1F497D" w:themeColor="text2"/>
          <w:lang w:eastAsia="es-AR"/>
        </w:rPr>
      </w:pPr>
      <w:r w:rsidRPr="00DF1868">
        <w:rPr>
          <w:rFonts w:ascii="Arial" w:eastAsia="Times New Roman" w:hAnsi="Arial" w:cs="Arial"/>
          <w:b/>
          <w:bCs/>
          <w:color w:val="1F497D" w:themeColor="text2"/>
          <w:lang w:eastAsia="es-AR"/>
        </w:rPr>
        <w:t>Recurso de amparo constitucional</w:t>
      </w:r>
      <w:r w:rsidRPr="00DF1868">
        <w:rPr>
          <w:rFonts w:ascii="Arial" w:eastAsia="Times New Roman" w:hAnsi="Arial" w:cs="Arial"/>
          <w:color w:val="1F497D" w:themeColor="text2"/>
          <w:lang w:eastAsia="es-AR"/>
        </w:rPr>
        <w:t>: La Constitución alemana admite el recurso de amparo constitucional a cualquier ciudadano (incluyendo personas jurídicas) que se vea lesionado en sus derechos constitucionales por acciones estatales (ejecutivas, legislativas o jurídicas). Sin embargo, el Tribunal Constitucional no es una simple instancia de revisión y no puede entrar en acción cuando una querella jurídica no afecta a cuestiones constitucionales.</w:t>
      </w:r>
    </w:p>
    <w:p w:rsidR="00DF1868" w:rsidRPr="00DF1868" w:rsidRDefault="00DF1868" w:rsidP="00DF1868">
      <w:pPr>
        <w:numPr>
          <w:ilvl w:val="0"/>
          <w:numId w:val="6"/>
        </w:numPr>
        <w:shd w:val="clear" w:color="auto" w:fill="FFFFFF"/>
        <w:spacing w:before="100" w:beforeAutospacing="1" w:after="24" w:line="249" w:lineRule="atLeast"/>
        <w:ind w:left="384"/>
        <w:rPr>
          <w:rFonts w:ascii="Arial" w:eastAsia="Times New Roman" w:hAnsi="Arial" w:cs="Arial"/>
          <w:color w:val="1F497D" w:themeColor="text2"/>
          <w:lang w:eastAsia="es-AR"/>
        </w:rPr>
      </w:pPr>
      <w:r w:rsidRPr="00DF1868">
        <w:rPr>
          <w:rFonts w:ascii="Arial" w:eastAsia="Times New Roman" w:hAnsi="Arial" w:cs="Arial"/>
          <w:b/>
          <w:bCs/>
          <w:color w:val="1F497D" w:themeColor="text2"/>
          <w:lang w:eastAsia="es-AR"/>
        </w:rPr>
        <w:t>Control de constitucionalidad de la ley bajo la forma de control normativo concreto</w:t>
      </w:r>
      <w:r w:rsidRPr="00DF1868">
        <w:rPr>
          <w:rFonts w:ascii="Arial" w:eastAsia="Times New Roman" w:hAnsi="Arial" w:cs="Arial"/>
          <w:color w:val="1F497D" w:themeColor="text2"/>
          <w:lang w:eastAsia="es-AR"/>
        </w:rPr>
        <w:t>: El Tribunal Constitucional Federal revisa la regularidad constitucional de una norma o ley a petición de los Tribunales Ordinarios de Justicia que conocen de una cuestión en litigio. La petición la realiza el Tribunal y no las partes en pugna.</w:t>
      </w:r>
    </w:p>
    <w:p w:rsidR="00DF1868" w:rsidRPr="00DF1868" w:rsidRDefault="00DF1868" w:rsidP="00DF1868">
      <w:pPr>
        <w:numPr>
          <w:ilvl w:val="0"/>
          <w:numId w:val="7"/>
        </w:numPr>
        <w:shd w:val="clear" w:color="auto" w:fill="FFFFFF"/>
        <w:spacing w:before="100" w:beforeAutospacing="1" w:after="24" w:line="249" w:lineRule="atLeast"/>
        <w:ind w:left="384"/>
        <w:rPr>
          <w:rFonts w:ascii="Arial" w:eastAsia="Times New Roman" w:hAnsi="Arial" w:cs="Arial"/>
          <w:color w:val="1F497D" w:themeColor="text2"/>
          <w:lang w:eastAsia="es-AR"/>
        </w:rPr>
      </w:pPr>
      <w:r w:rsidRPr="00DF1868">
        <w:rPr>
          <w:rFonts w:ascii="Arial" w:eastAsia="Times New Roman" w:hAnsi="Arial" w:cs="Arial"/>
          <w:b/>
          <w:bCs/>
          <w:color w:val="1F497D" w:themeColor="text2"/>
          <w:lang w:eastAsia="es-AR"/>
        </w:rPr>
        <w:t>Control de constitucionalidad de la ley bajo la forma de control normativo abstracto</w:t>
      </w:r>
      <w:r w:rsidRPr="00DF1868">
        <w:rPr>
          <w:rFonts w:ascii="Arial" w:eastAsia="Times New Roman" w:hAnsi="Arial" w:cs="Arial"/>
          <w:color w:val="1F497D" w:themeColor="text2"/>
          <w:lang w:eastAsia="es-AR"/>
        </w:rPr>
        <w:t xml:space="preserve">: El Tribunal Constitucional Federal revisa la regularidad constitucional de una norma o ley aprobada, a petición del Gobierno Federal, el gobierno de un estado federado o al menos el 30% de los miembros </w:t>
      </w:r>
      <w:proofErr w:type="spellStart"/>
      <w:r w:rsidRPr="00DF1868">
        <w:rPr>
          <w:rFonts w:ascii="Arial" w:eastAsia="Times New Roman" w:hAnsi="Arial" w:cs="Arial"/>
          <w:color w:val="1F497D" w:themeColor="text2"/>
          <w:lang w:eastAsia="es-AR"/>
        </w:rPr>
        <w:t>del</w:t>
      </w:r>
      <w:hyperlink r:id="rId24" w:tooltip="Bundestag" w:history="1">
        <w:r w:rsidRPr="00DF1868">
          <w:rPr>
            <w:rFonts w:ascii="Arial" w:eastAsia="Times New Roman" w:hAnsi="Arial" w:cs="Arial"/>
            <w:color w:val="1F497D" w:themeColor="text2"/>
            <w:lang w:eastAsia="es-AR"/>
          </w:rPr>
          <w:t>Bundestag</w:t>
        </w:r>
        <w:proofErr w:type="spellEnd"/>
      </w:hyperlink>
      <w:r w:rsidRPr="00DF1868">
        <w:rPr>
          <w:rFonts w:ascii="Arial" w:eastAsia="Times New Roman" w:hAnsi="Arial" w:cs="Arial"/>
          <w:color w:val="1F497D" w:themeColor="text2"/>
          <w:lang w:eastAsia="es-AR"/>
        </w:rPr>
        <w:t>. El control normativo abstracto se realiza independientemente de la existencia de litigios concretos y hace posible que la oposición parlamentaria haga comprobar la constitucionalidad de una ley o un tratado internacional.</w:t>
      </w:r>
    </w:p>
    <w:p w:rsidR="00DF1868" w:rsidRPr="00DF1868" w:rsidRDefault="00DF1868" w:rsidP="00DF1868">
      <w:pPr>
        <w:numPr>
          <w:ilvl w:val="0"/>
          <w:numId w:val="8"/>
        </w:numPr>
        <w:shd w:val="clear" w:color="auto" w:fill="FFFFFF"/>
        <w:spacing w:before="100" w:beforeAutospacing="1" w:after="24" w:line="249" w:lineRule="atLeast"/>
        <w:ind w:left="384"/>
        <w:rPr>
          <w:rFonts w:ascii="Arial" w:eastAsia="Times New Roman" w:hAnsi="Arial" w:cs="Arial"/>
          <w:color w:val="1F497D" w:themeColor="text2"/>
          <w:lang w:eastAsia="es-AR"/>
        </w:rPr>
      </w:pPr>
      <w:r w:rsidRPr="00DF1868">
        <w:rPr>
          <w:rFonts w:ascii="Arial" w:eastAsia="Times New Roman" w:hAnsi="Arial" w:cs="Arial"/>
          <w:b/>
          <w:bCs/>
          <w:color w:val="1F497D" w:themeColor="text2"/>
          <w:lang w:eastAsia="es-AR"/>
        </w:rPr>
        <w:t>Resolución de conflictos de competencia</w:t>
      </w:r>
      <w:r w:rsidRPr="00DF1868">
        <w:rPr>
          <w:rFonts w:ascii="Arial" w:eastAsia="Times New Roman" w:hAnsi="Arial" w:cs="Arial"/>
          <w:color w:val="1F497D" w:themeColor="text2"/>
          <w:lang w:eastAsia="es-AR"/>
        </w:rPr>
        <w:t> entre distintos órganos estatales federales o entre el Estado federal y los </w:t>
      </w:r>
      <w:hyperlink r:id="rId25" w:tooltip="Organización territorial de Alemania" w:history="1">
        <w:r w:rsidRPr="00DF1868">
          <w:rPr>
            <w:rFonts w:ascii="Arial" w:eastAsia="Times New Roman" w:hAnsi="Arial" w:cs="Arial"/>
            <w:color w:val="1F497D" w:themeColor="text2"/>
            <w:lang w:eastAsia="es-AR"/>
          </w:rPr>
          <w:t>estados federados</w:t>
        </w:r>
      </w:hyperlink>
      <w:r w:rsidRPr="00DF1868">
        <w:rPr>
          <w:rFonts w:ascii="Arial" w:eastAsia="Times New Roman" w:hAnsi="Arial" w:cs="Arial"/>
          <w:color w:val="1F497D" w:themeColor="text2"/>
          <w:lang w:eastAsia="es-AR"/>
        </w:rPr>
        <w:t>.</w:t>
      </w:r>
    </w:p>
    <w:p w:rsidR="00DF1868" w:rsidRPr="00DF1868" w:rsidRDefault="00DF1868" w:rsidP="00DF1868">
      <w:pPr>
        <w:numPr>
          <w:ilvl w:val="0"/>
          <w:numId w:val="9"/>
        </w:numPr>
        <w:shd w:val="clear" w:color="auto" w:fill="FFFFFF"/>
        <w:spacing w:before="100" w:beforeAutospacing="1" w:after="24" w:line="249" w:lineRule="atLeast"/>
        <w:ind w:left="384"/>
        <w:rPr>
          <w:rFonts w:ascii="Arial" w:eastAsia="Times New Roman" w:hAnsi="Arial" w:cs="Arial"/>
          <w:color w:val="1F497D" w:themeColor="text2"/>
          <w:lang w:eastAsia="es-AR"/>
        </w:rPr>
      </w:pPr>
      <w:r w:rsidRPr="00DF1868">
        <w:rPr>
          <w:rFonts w:ascii="Arial" w:eastAsia="Times New Roman" w:hAnsi="Arial" w:cs="Arial"/>
          <w:b/>
          <w:bCs/>
          <w:color w:val="1F497D" w:themeColor="text2"/>
          <w:lang w:eastAsia="es-AR"/>
        </w:rPr>
        <w:t>Declaración de inconstitucionalidad de partidos políticos y su disolución</w:t>
      </w:r>
      <w:r w:rsidRPr="00DF1868">
        <w:rPr>
          <w:rFonts w:ascii="Arial" w:eastAsia="Times New Roman" w:hAnsi="Arial" w:cs="Arial"/>
          <w:color w:val="1F497D" w:themeColor="text2"/>
          <w:lang w:eastAsia="es-AR"/>
        </w:rPr>
        <w:t>: A petición del Gobierno Federal, del </w:t>
      </w:r>
      <w:hyperlink r:id="rId26" w:tooltip="Bundestag" w:history="1">
        <w:proofErr w:type="spellStart"/>
        <w:r w:rsidRPr="00DF1868">
          <w:rPr>
            <w:rFonts w:ascii="Arial" w:eastAsia="Times New Roman" w:hAnsi="Arial" w:cs="Arial"/>
            <w:color w:val="1F497D" w:themeColor="text2"/>
            <w:lang w:eastAsia="es-AR"/>
          </w:rPr>
          <w:t>Bundestag</w:t>
        </w:r>
        <w:proofErr w:type="spellEnd"/>
      </w:hyperlink>
      <w:r w:rsidRPr="00DF1868">
        <w:rPr>
          <w:rFonts w:ascii="Arial" w:eastAsia="Times New Roman" w:hAnsi="Arial" w:cs="Arial"/>
          <w:color w:val="1F497D" w:themeColor="text2"/>
          <w:lang w:eastAsia="es-AR"/>
        </w:rPr>
        <w:t> y del </w:t>
      </w:r>
      <w:hyperlink r:id="rId27" w:tooltip="Bundesrat" w:history="1">
        <w:proofErr w:type="spellStart"/>
        <w:r w:rsidRPr="00DF1868">
          <w:rPr>
            <w:rFonts w:ascii="Arial" w:eastAsia="Times New Roman" w:hAnsi="Arial" w:cs="Arial"/>
            <w:color w:val="1F497D" w:themeColor="text2"/>
            <w:lang w:eastAsia="es-AR"/>
          </w:rPr>
          <w:t>Bundesrat</w:t>
        </w:r>
        <w:proofErr w:type="spellEnd"/>
      </w:hyperlink>
      <w:r w:rsidRPr="00DF1868">
        <w:rPr>
          <w:rFonts w:ascii="Arial" w:eastAsia="Times New Roman" w:hAnsi="Arial" w:cs="Arial"/>
          <w:color w:val="1F497D" w:themeColor="text2"/>
          <w:lang w:eastAsia="es-AR"/>
        </w:rPr>
        <w:t>, el tribunal Constitucional Federal puede disolver a los partidos que no se ajusten al orden constitucional. Hasta el momento, esto sucedió sólo en dos ocasiones: en 1952 se declaró inconstitucional al </w:t>
      </w:r>
      <w:hyperlink r:id="rId28" w:tooltip="Partido Socialista del Reich" w:history="1">
        <w:r w:rsidRPr="00DF1868">
          <w:rPr>
            <w:rFonts w:ascii="Arial" w:eastAsia="Times New Roman" w:hAnsi="Arial" w:cs="Arial"/>
            <w:color w:val="1F497D" w:themeColor="text2"/>
            <w:lang w:eastAsia="es-AR"/>
          </w:rPr>
          <w:t xml:space="preserve">Partido Socialista del </w:t>
        </w:r>
        <w:proofErr w:type="spellStart"/>
        <w:r w:rsidRPr="00DF1868">
          <w:rPr>
            <w:rFonts w:ascii="Arial" w:eastAsia="Times New Roman" w:hAnsi="Arial" w:cs="Arial"/>
            <w:color w:val="1F497D" w:themeColor="text2"/>
            <w:lang w:eastAsia="es-AR"/>
          </w:rPr>
          <w:t>Reich</w:t>
        </w:r>
        <w:proofErr w:type="spellEnd"/>
      </w:hyperlink>
      <w:r w:rsidRPr="00DF1868">
        <w:rPr>
          <w:rFonts w:ascii="Arial" w:eastAsia="Times New Roman" w:hAnsi="Arial" w:cs="Arial"/>
          <w:color w:val="1F497D" w:themeColor="text2"/>
          <w:lang w:eastAsia="es-AR"/>
        </w:rPr>
        <w:t> (un partido político considerado continuador del </w:t>
      </w:r>
      <w:hyperlink r:id="rId29" w:tooltip="NSDAP" w:history="1">
        <w:r w:rsidRPr="00DF1868">
          <w:rPr>
            <w:rFonts w:ascii="Arial" w:eastAsia="Times New Roman" w:hAnsi="Arial" w:cs="Arial"/>
            <w:color w:val="1F497D" w:themeColor="text2"/>
            <w:lang w:eastAsia="es-AR"/>
          </w:rPr>
          <w:t>Partido Nazi</w:t>
        </w:r>
      </w:hyperlink>
      <w:r w:rsidRPr="00DF1868">
        <w:rPr>
          <w:rFonts w:ascii="Arial" w:eastAsia="Times New Roman" w:hAnsi="Arial" w:cs="Arial"/>
          <w:color w:val="1F497D" w:themeColor="text2"/>
          <w:lang w:eastAsia="es-AR"/>
        </w:rPr>
        <w:t>) y en 1956, al </w:t>
      </w:r>
      <w:hyperlink r:id="rId30" w:tooltip="Partido Comunista de Alemania" w:history="1">
        <w:r w:rsidRPr="00DF1868">
          <w:rPr>
            <w:rFonts w:ascii="Arial" w:eastAsia="Times New Roman" w:hAnsi="Arial" w:cs="Arial"/>
            <w:color w:val="1F497D" w:themeColor="text2"/>
            <w:lang w:eastAsia="es-AR"/>
          </w:rPr>
          <w:t>Partido Comunista de Alemania</w:t>
        </w:r>
      </w:hyperlink>
      <w:r w:rsidRPr="00DF1868">
        <w:rPr>
          <w:rFonts w:ascii="Arial" w:eastAsia="Times New Roman" w:hAnsi="Arial" w:cs="Arial"/>
          <w:color w:val="1F497D" w:themeColor="text2"/>
          <w:lang w:eastAsia="es-AR"/>
        </w:rPr>
        <w:t>. En 2003, un juicio de inconstitucionalidad contra el </w:t>
      </w:r>
      <w:hyperlink r:id="rId31" w:tooltip="Partido Nacionaldemócrata de Alemania" w:history="1">
        <w:r w:rsidRPr="00DF1868">
          <w:rPr>
            <w:rFonts w:ascii="Arial" w:eastAsia="Times New Roman" w:hAnsi="Arial" w:cs="Arial"/>
            <w:color w:val="1F497D" w:themeColor="text2"/>
            <w:lang w:eastAsia="es-AR"/>
          </w:rPr>
          <w:t xml:space="preserve">Partido </w:t>
        </w:r>
        <w:proofErr w:type="spellStart"/>
        <w:r w:rsidRPr="00DF1868">
          <w:rPr>
            <w:rFonts w:ascii="Arial" w:eastAsia="Times New Roman" w:hAnsi="Arial" w:cs="Arial"/>
            <w:color w:val="1F497D" w:themeColor="text2"/>
            <w:lang w:eastAsia="es-AR"/>
          </w:rPr>
          <w:t>Nacionaldemócrata</w:t>
        </w:r>
        <w:proofErr w:type="spellEnd"/>
        <w:r w:rsidRPr="00DF1868">
          <w:rPr>
            <w:rFonts w:ascii="Arial" w:eastAsia="Times New Roman" w:hAnsi="Arial" w:cs="Arial"/>
            <w:color w:val="1F497D" w:themeColor="text2"/>
            <w:lang w:eastAsia="es-AR"/>
          </w:rPr>
          <w:t xml:space="preserve"> de Alemania</w:t>
        </w:r>
      </w:hyperlink>
      <w:r w:rsidRPr="00DF1868">
        <w:rPr>
          <w:rFonts w:ascii="Arial" w:eastAsia="Times New Roman" w:hAnsi="Arial" w:cs="Arial"/>
          <w:color w:val="1F497D" w:themeColor="text2"/>
          <w:lang w:eastAsia="es-AR"/>
        </w:rPr>
        <w:t> fracasó por cuestiones formales.</w:t>
      </w:r>
    </w:p>
    <w:p w:rsidR="00DF1868" w:rsidRDefault="00DF1868" w:rsidP="00DF1868">
      <w:pPr>
        <w:shd w:val="clear" w:color="auto" w:fill="FFFFFF"/>
        <w:spacing w:before="96" w:after="120" w:line="249" w:lineRule="atLeast"/>
        <w:rPr>
          <w:rFonts w:ascii="Arial" w:eastAsia="Times New Roman" w:hAnsi="Arial" w:cs="Arial"/>
          <w:color w:val="1F497D" w:themeColor="text2"/>
          <w:lang w:eastAsia="es-AR"/>
        </w:rPr>
      </w:pPr>
      <w:r w:rsidRPr="00DF1868">
        <w:rPr>
          <w:rFonts w:ascii="Arial" w:eastAsia="Times New Roman" w:hAnsi="Arial" w:cs="Arial"/>
          <w:color w:val="1F497D" w:themeColor="text2"/>
          <w:lang w:eastAsia="es-AR"/>
        </w:rPr>
        <w:t>Además de estas atribuciones, el Tribunal Constitucional Federal posee otras establecidas en la </w:t>
      </w:r>
      <w:hyperlink r:id="rId32" w:tooltip="Ley Orgánica" w:history="1">
        <w:r w:rsidRPr="00DF1868">
          <w:rPr>
            <w:rFonts w:ascii="Arial" w:eastAsia="Times New Roman" w:hAnsi="Arial" w:cs="Arial"/>
            <w:color w:val="1F497D" w:themeColor="text2"/>
            <w:lang w:eastAsia="es-AR"/>
          </w:rPr>
          <w:t>Ley Orgánica</w:t>
        </w:r>
      </w:hyperlink>
      <w:r w:rsidRPr="00DF1868">
        <w:rPr>
          <w:rFonts w:ascii="Arial" w:eastAsia="Times New Roman" w:hAnsi="Arial" w:cs="Arial"/>
          <w:color w:val="1F497D" w:themeColor="text2"/>
          <w:lang w:eastAsia="es-AR"/>
        </w:rPr>
        <w:t> que lo regula.</w:t>
      </w:r>
    </w:p>
    <w:p w:rsidR="00D60817" w:rsidRDefault="00D60817" w:rsidP="00DF1868">
      <w:pPr>
        <w:shd w:val="clear" w:color="auto" w:fill="FFFFFF"/>
        <w:spacing w:before="96" w:after="120" w:line="249" w:lineRule="atLeast"/>
        <w:rPr>
          <w:rFonts w:ascii="Arial" w:eastAsia="Times New Roman" w:hAnsi="Arial" w:cs="Arial"/>
          <w:color w:val="1F497D" w:themeColor="text2"/>
          <w:lang w:eastAsia="es-AR"/>
        </w:rPr>
      </w:pPr>
    </w:p>
    <w:p w:rsidR="00D60817" w:rsidRPr="00D60817" w:rsidRDefault="00D60817" w:rsidP="00D60817">
      <w:pPr>
        <w:pStyle w:val="NormalWeb"/>
        <w:shd w:val="clear" w:color="auto" w:fill="FFFFFF"/>
        <w:spacing w:before="0" w:beforeAutospacing="0" w:after="0" w:afterAutospacing="0" w:line="208" w:lineRule="atLeast"/>
        <w:textAlignment w:val="baseline"/>
        <w:rPr>
          <w:rFonts w:ascii="Arial" w:hAnsi="Arial" w:cs="Arial"/>
          <w:color w:val="333333"/>
          <w:sz w:val="22"/>
          <w:szCs w:val="22"/>
          <w:lang w:val="en-US"/>
        </w:rPr>
      </w:pPr>
      <w:r w:rsidRPr="00D60817">
        <w:rPr>
          <w:rFonts w:ascii="Arial" w:hAnsi="Arial" w:cs="Arial"/>
          <w:b/>
          <w:color w:val="4F6228" w:themeColor="accent3" w:themeShade="80"/>
          <w:lang w:val="en-US"/>
        </w:rPr>
        <w:t xml:space="preserve">Habeas corpus: </w:t>
      </w:r>
      <w:r w:rsidRPr="00D60817">
        <w:rPr>
          <w:rFonts w:ascii="Arial" w:hAnsi="Arial" w:cs="Arial"/>
          <w:b/>
          <w:i/>
          <w:color w:val="333333"/>
          <w:sz w:val="22"/>
          <w:szCs w:val="22"/>
          <w:lang w:val="en-US"/>
        </w:rPr>
        <w:t>Article 104, paragraph 1</w:t>
      </w:r>
      <w:r w:rsidRPr="00D60817">
        <w:rPr>
          <w:rFonts w:ascii="Arial" w:hAnsi="Arial" w:cs="Arial"/>
          <w:i/>
          <w:color w:val="333333"/>
          <w:sz w:val="22"/>
          <w:szCs w:val="22"/>
          <w:lang w:val="en-US"/>
        </w:rPr>
        <w:t xml:space="preserve"> of the German </w:t>
      </w:r>
      <w:proofErr w:type="gramStart"/>
      <w:r w:rsidRPr="00D60817">
        <w:rPr>
          <w:rFonts w:ascii="Arial" w:hAnsi="Arial" w:cs="Arial"/>
          <w:i/>
          <w:color w:val="333333"/>
          <w:sz w:val="22"/>
          <w:szCs w:val="22"/>
          <w:lang w:val="en-US"/>
        </w:rPr>
        <w:t>Constitution</w:t>
      </w:r>
      <w:bookmarkStart w:id="0" w:name="t1"/>
      <w:bookmarkEnd w:id="0"/>
      <w:r w:rsidRPr="00D60817">
        <w:rPr>
          <w:rFonts w:ascii="Arial" w:hAnsi="Arial" w:cs="Arial"/>
          <w:color w:val="333333"/>
          <w:sz w:val="22"/>
          <w:szCs w:val="22"/>
          <w:lang w:val="en-US"/>
        </w:rPr>
        <w:t>[</w:t>
      </w:r>
      <w:proofErr w:type="gramEnd"/>
      <w:r w:rsidR="00AA3833" w:rsidRPr="00D60817">
        <w:rPr>
          <w:rFonts w:ascii="Arial" w:hAnsi="Arial" w:cs="Arial"/>
          <w:color w:val="333333"/>
          <w:sz w:val="22"/>
          <w:szCs w:val="22"/>
        </w:rPr>
        <w:fldChar w:fldCharType="begin"/>
      </w:r>
      <w:r w:rsidRPr="00D60817">
        <w:rPr>
          <w:rFonts w:ascii="Arial" w:hAnsi="Arial" w:cs="Arial"/>
          <w:color w:val="333333"/>
          <w:sz w:val="22"/>
          <w:szCs w:val="22"/>
          <w:lang w:val="en-US"/>
        </w:rPr>
        <w:instrText xml:space="preserve"> HYPERLINK "http://www.loc.gov/law/help/habeas-corpus/germany.php" \l "f1" </w:instrText>
      </w:r>
      <w:r w:rsidR="00AA3833" w:rsidRPr="00D60817">
        <w:rPr>
          <w:rFonts w:ascii="Arial" w:hAnsi="Arial" w:cs="Arial"/>
          <w:color w:val="333333"/>
          <w:sz w:val="22"/>
          <w:szCs w:val="22"/>
        </w:rPr>
        <w:fldChar w:fldCharType="separate"/>
      </w:r>
      <w:r w:rsidRPr="00D60817">
        <w:rPr>
          <w:rFonts w:ascii="inherit" w:hAnsi="inherit" w:cs="Arial"/>
          <w:color w:val="660099"/>
          <w:sz w:val="22"/>
          <w:szCs w:val="22"/>
          <w:u w:val="single"/>
          <w:lang w:val="en-US"/>
        </w:rPr>
        <w:t>1</w:t>
      </w:r>
      <w:r w:rsidR="00AA3833" w:rsidRPr="00D60817">
        <w:rPr>
          <w:rFonts w:ascii="Arial" w:hAnsi="Arial" w:cs="Arial"/>
          <w:color w:val="333333"/>
          <w:sz w:val="22"/>
          <w:szCs w:val="22"/>
        </w:rPr>
        <w:fldChar w:fldCharType="end"/>
      </w:r>
      <w:r w:rsidRPr="00D60817">
        <w:rPr>
          <w:rFonts w:ascii="Arial" w:hAnsi="Arial" w:cs="Arial"/>
          <w:color w:val="333333"/>
          <w:sz w:val="22"/>
          <w:szCs w:val="22"/>
          <w:lang w:val="en-US"/>
        </w:rPr>
        <w:t xml:space="preserve">] provides that deprivations of liberty may be imposed only on the basis of a specific enabling statute that also </w:t>
      </w:r>
      <w:r w:rsidRPr="00D60817">
        <w:rPr>
          <w:rFonts w:ascii="Arial" w:hAnsi="Arial" w:cs="Arial"/>
          <w:color w:val="333333"/>
          <w:sz w:val="22"/>
          <w:szCs w:val="22"/>
          <w:lang w:val="en-US"/>
        </w:rPr>
        <w:lastRenderedPageBreak/>
        <w:t xml:space="preserve">must include procedural rules.  </w:t>
      </w:r>
      <w:r w:rsidRPr="00D60817">
        <w:rPr>
          <w:rFonts w:ascii="Arial" w:hAnsi="Arial" w:cs="Arial"/>
          <w:b/>
          <w:color w:val="333333"/>
          <w:sz w:val="22"/>
          <w:szCs w:val="22"/>
          <w:lang w:val="en-US"/>
        </w:rPr>
        <w:t>Article 104, paragraph 2</w:t>
      </w:r>
      <w:r w:rsidRPr="00D60817">
        <w:rPr>
          <w:rFonts w:ascii="Arial" w:hAnsi="Arial" w:cs="Arial"/>
          <w:color w:val="333333"/>
          <w:sz w:val="22"/>
          <w:szCs w:val="22"/>
          <w:lang w:val="en-US"/>
        </w:rPr>
        <w:t xml:space="preserve"> requires that any arrested individual be brought before a judge by the end of the day following the day of the arrest.  For those detained as criminal suspects, </w:t>
      </w:r>
      <w:r w:rsidRPr="00D60817">
        <w:rPr>
          <w:rFonts w:ascii="Arial" w:hAnsi="Arial" w:cs="Arial"/>
          <w:b/>
          <w:color w:val="333333"/>
          <w:sz w:val="22"/>
          <w:szCs w:val="22"/>
          <w:lang w:val="en-US"/>
        </w:rPr>
        <w:t>article 104, paragraph 3</w:t>
      </w:r>
      <w:r w:rsidRPr="00D60817">
        <w:rPr>
          <w:rFonts w:ascii="Arial" w:hAnsi="Arial" w:cs="Arial"/>
          <w:color w:val="333333"/>
          <w:sz w:val="22"/>
          <w:szCs w:val="22"/>
          <w:lang w:val="en-US"/>
        </w:rPr>
        <w:t xml:space="preserve"> specifically requires that the judge must grant a hearing to the suspect in order to rule on the detention.</w:t>
      </w:r>
    </w:p>
    <w:p w:rsidR="00D60817" w:rsidRPr="00D60817" w:rsidRDefault="00D60817" w:rsidP="00D60817">
      <w:pPr>
        <w:shd w:val="clear" w:color="auto" w:fill="FFFFFF"/>
        <w:spacing w:after="300" w:line="208" w:lineRule="atLeast"/>
        <w:textAlignment w:val="baseline"/>
        <w:rPr>
          <w:rFonts w:ascii="Arial" w:eastAsia="Times New Roman" w:hAnsi="Arial" w:cs="Arial"/>
          <w:color w:val="333333"/>
          <w:lang w:val="en-US" w:eastAsia="es-AR"/>
        </w:rPr>
      </w:pPr>
      <w:r w:rsidRPr="00D60817">
        <w:rPr>
          <w:rFonts w:ascii="Arial" w:eastAsia="Times New Roman" w:hAnsi="Arial" w:cs="Arial"/>
          <w:color w:val="333333"/>
          <w:lang w:val="en-US" w:eastAsia="es-AR"/>
        </w:rPr>
        <w:t xml:space="preserve">Restrictions on the power of the authorities to arrest and detain individuals also emanate from </w:t>
      </w:r>
      <w:r w:rsidRPr="00D60817">
        <w:rPr>
          <w:rFonts w:ascii="Arial" w:eastAsia="Times New Roman" w:hAnsi="Arial" w:cs="Arial"/>
          <w:b/>
          <w:color w:val="333333"/>
          <w:lang w:val="en-US" w:eastAsia="es-AR"/>
        </w:rPr>
        <w:t>article 2 paragraph 2 of the Constitution</w:t>
      </w:r>
      <w:r w:rsidRPr="00D60817">
        <w:rPr>
          <w:rFonts w:ascii="Arial" w:eastAsia="Times New Roman" w:hAnsi="Arial" w:cs="Arial"/>
          <w:color w:val="333333"/>
          <w:lang w:val="en-US" w:eastAsia="es-AR"/>
        </w:rPr>
        <w:t xml:space="preserve"> which guarantees liberty and requires a statutory authorization for any deprivation of liberty.  In addition, several other articles of the Constitution have a bearing on the issue.  The most important of these are article 19, which generally requires a statutory basis for any infringements of the fundamental rights guaranteed by the Constitution while also guaranteeing judicial review; article 20, paragraph 3, which guarantees the rule of law; and article 3 which guarantees equality.</w:t>
      </w:r>
    </w:p>
    <w:p w:rsidR="00D60817" w:rsidRPr="00D60817" w:rsidRDefault="00D60817" w:rsidP="00D60817">
      <w:pPr>
        <w:shd w:val="clear" w:color="auto" w:fill="FFFFFF"/>
        <w:spacing w:after="300" w:line="208" w:lineRule="atLeast"/>
        <w:textAlignment w:val="baseline"/>
        <w:rPr>
          <w:rFonts w:ascii="Arial" w:eastAsia="Times New Roman" w:hAnsi="Arial" w:cs="Arial"/>
          <w:color w:val="333333"/>
          <w:lang w:val="en-US" w:eastAsia="es-AR"/>
        </w:rPr>
      </w:pPr>
      <w:r w:rsidRPr="00D60817">
        <w:rPr>
          <w:rFonts w:ascii="Arial" w:eastAsia="Times New Roman" w:hAnsi="Arial" w:cs="Arial"/>
          <w:color w:val="333333"/>
          <w:lang w:val="en-US" w:eastAsia="es-AR"/>
        </w:rPr>
        <w:t xml:space="preserve">In particular, a constitutional obligation to grant remedies for improper detention is required by </w:t>
      </w:r>
      <w:r w:rsidRPr="00D60817">
        <w:rPr>
          <w:rFonts w:ascii="Arial" w:eastAsia="Times New Roman" w:hAnsi="Arial" w:cs="Arial"/>
          <w:b/>
          <w:color w:val="333333"/>
          <w:lang w:val="en-US" w:eastAsia="es-AR"/>
        </w:rPr>
        <w:t>article 19, paragraph 4 of the Constitution</w:t>
      </w:r>
      <w:r w:rsidRPr="00D60817">
        <w:rPr>
          <w:rFonts w:ascii="Arial" w:eastAsia="Times New Roman" w:hAnsi="Arial" w:cs="Arial"/>
          <w:color w:val="333333"/>
          <w:lang w:val="en-US" w:eastAsia="es-AR"/>
        </w:rPr>
        <w:t xml:space="preserve"> which provides as follows:</w:t>
      </w:r>
      <w:r>
        <w:rPr>
          <w:rFonts w:ascii="Arial" w:eastAsia="Times New Roman" w:hAnsi="Arial" w:cs="Arial"/>
          <w:color w:val="333333"/>
          <w:lang w:val="en-US" w:eastAsia="es-AR"/>
        </w:rPr>
        <w:t xml:space="preserve"> </w:t>
      </w:r>
      <w:r w:rsidRPr="00D60817">
        <w:rPr>
          <w:rFonts w:ascii="inherit" w:eastAsia="Times New Roman" w:hAnsi="inherit" w:cs="Arial"/>
          <w:color w:val="333333"/>
          <w:lang w:val="en-US" w:eastAsia="es-AR"/>
        </w:rPr>
        <w:t>Should any person’s right be violated by public authority, he may have recourse to the courts.  If no other jurisdiction has been established, recourse shall be to the ordinary courts.</w:t>
      </w:r>
    </w:p>
    <w:p w:rsidR="00D60817" w:rsidRDefault="00D60817" w:rsidP="00D60817">
      <w:pPr>
        <w:shd w:val="clear" w:color="auto" w:fill="FFFFFF"/>
        <w:spacing w:after="0" w:line="208" w:lineRule="atLeast"/>
        <w:textAlignment w:val="baseline"/>
        <w:rPr>
          <w:rFonts w:ascii="Arial" w:eastAsia="Times New Roman" w:hAnsi="Arial" w:cs="Arial"/>
          <w:color w:val="333333"/>
          <w:lang w:val="en-US" w:eastAsia="es-AR"/>
        </w:rPr>
      </w:pPr>
      <w:r w:rsidRPr="00D60817">
        <w:rPr>
          <w:rFonts w:ascii="Arial" w:eastAsia="Times New Roman" w:hAnsi="Arial" w:cs="Arial"/>
          <w:color w:val="333333"/>
          <w:lang w:val="en-US" w:eastAsia="es-AR"/>
        </w:rPr>
        <w:t>In federal law, the constitutional guarantees against improper detention are implemented primarily in the Code of Criminal Procedure</w:t>
      </w:r>
      <w:bookmarkStart w:id="1" w:name="t2"/>
      <w:bookmarkEnd w:id="1"/>
      <w:r w:rsidRPr="00D60817">
        <w:rPr>
          <w:rFonts w:ascii="Arial" w:eastAsia="Times New Roman" w:hAnsi="Arial" w:cs="Arial"/>
          <w:color w:val="333333"/>
          <w:lang w:val="en-US" w:eastAsia="es-AR"/>
        </w:rPr>
        <w:t>[</w:t>
      </w:r>
      <w:r w:rsidR="00AA3833">
        <w:fldChar w:fldCharType="begin"/>
      </w:r>
      <w:r w:rsidR="00AA3833" w:rsidRPr="0012789C">
        <w:rPr>
          <w:lang w:val="en-US"/>
        </w:rPr>
        <w:instrText>HYPERLINK "http://www.loc.gov/law/help/habeas-corpus/germany.php" \l "f2"</w:instrText>
      </w:r>
      <w:r w:rsidR="00AA3833">
        <w:fldChar w:fldCharType="separate"/>
      </w:r>
      <w:r w:rsidRPr="00D60817">
        <w:rPr>
          <w:rFonts w:ascii="inherit" w:eastAsia="Times New Roman" w:hAnsi="inherit" w:cs="Arial"/>
          <w:color w:val="660099"/>
          <w:u w:val="single"/>
          <w:lang w:val="en-US" w:eastAsia="es-AR"/>
        </w:rPr>
        <w:t>2</w:t>
      </w:r>
      <w:r w:rsidR="00AA3833">
        <w:fldChar w:fldCharType="end"/>
      </w:r>
      <w:r w:rsidRPr="00D60817">
        <w:rPr>
          <w:rFonts w:ascii="Arial" w:eastAsia="Times New Roman" w:hAnsi="Arial" w:cs="Arial"/>
          <w:color w:val="333333"/>
          <w:lang w:val="en-US" w:eastAsia="es-AR"/>
        </w:rPr>
        <w:t>] and in an Act on Court Proceedings for Deprivations of Liberty (hereinafter: Deprivations of Liberty Act).</w:t>
      </w:r>
      <w:bookmarkStart w:id="2" w:name="t3"/>
      <w:bookmarkEnd w:id="2"/>
      <w:r w:rsidRPr="00D60817">
        <w:rPr>
          <w:rFonts w:ascii="Arial" w:eastAsia="Times New Roman" w:hAnsi="Arial" w:cs="Arial"/>
          <w:color w:val="333333"/>
          <w:lang w:val="en-US" w:eastAsia="es-AR"/>
        </w:rPr>
        <w:t>[</w:t>
      </w:r>
      <w:r w:rsidR="00AA3833">
        <w:fldChar w:fldCharType="begin"/>
      </w:r>
      <w:r w:rsidR="00AA3833" w:rsidRPr="0012789C">
        <w:rPr>
          <w:lang w:val="en-US"/>
        </w:rPr>
        <w:instrText>HYPERLINK "http://www.loc.gov/law/help/habeas-corpus/germany.php" \l "f3"</w:instrText>
      </w:r>
      <w:r w:rsidR="00AA3833">
        <w:fldChar w:fldCharType="separate"/>
      </w:r>
      <w:r w:rsidRPr="00D60817">
        <w:rPr>
          <w:rFonts w:ascii="inherit" w:eastAsia="Times New Roman" w:hAnsi="inherit" w:cs="Arial"/>
          <w:color w:val="660099"/>
          <w:u w:val="single"/>
          <w:lang w:val="en-US" w:eastAsia="es-AR"/>
        </w:rPr>
        <w:t>3</w:t>
      </w:r>
      <w:r w:rsidR="00AA3833">
        <w:fldChar w:fldCharType="end"/>
      </w:r>
      <w:r w:rsidRPr="00D60817">
        <w:rPr>
          <w:rFonts w:ascii="Arial" w:eastAsia="Times New Roman" w:hAnsi="Arial" w:cs="Arial"/>
          <w:color w:val="333333"/>
          <w:lang w:val="en-US" w:eastAsia="es-AR"/>
        </w:rPr>
        <w:t>]  The Act is applicable on a subsidiary basis to all detentions imposed by federal law, if the specific enabling provisions are not sufficient.</w:t>
      </w:r>
      <w:bookmarkStart w:id="3" w:name="t4"/>
      <w:bookmarkEnd w:id="3"/>
      <w:r w:rsidRPr="00D60817">
        <w:rPr>
          <w:rFonts w:ascii="Arial" w:eastAsia="Times New Roman" w:hAnsi="Arial" w:cs="Arial"/>
          <w:color w:val="333333"/>
          <w:lang w:val="en-US" w:eastAsia="es-AR"/>
        </w:rPr>
        <w:t>[</w:t>
      </w:r>
      <w:r w:rsidR="00AA3833">
        <w:fldChar w:fldCharType="begin"/>
      </w:r>
      <w:r w:rsidR="00AA3833" w:rsidRPr="0012789C">
        <w:rPr>
          <w:lang w:val="en-US"/>
        </w:rPr>
        <w:instrText>HYPERLINK "http://www.loc.gov/law/help/habeas-corpus/germany.php" \l "f4"</w:instrText>
      </w:r>
      <w:r w:rsidR="00AA3833">
        <w:fldChar w:fldCharType="separate"/>
      </w:r>
      <w:r w:rsidRPr="00D60817">
        <w:rPr>
          <w:rFonts w:ascii="inherit" w:eastAsia="Times New Roman" w:hAnsi="inherit" w:cs="Arial"/>
          <w:color w:val="660099"/>
          <w:u w:val="single"/>
          <w:lang w:val="en-US" w:eastAsia="es-AR"/>
        </w:rPr>
        <w:t>4</w:t>
      </w:r>
      <w:r w:rsidR="00AA3833">
        <w:fldChar w:fldCharType="end"/>
      </w:r>
      <w:r w:rsidRPr="00D60817">
        <w:rPr>
          <w:rFonts w:ascii="Arial" w:eastAsia="Times New Roman" w:hAnsi="Arial" w:cs="Arial"/>
          <w:color w:val="333333"/>
          <w:lang w:val="en-US" w:eastAsia="es-AR"/>
        </w:rPr>
        <w:t>]  In the states, these constitutional guarantees are implemented in the laws governing the police.</w:t>
      </w:r>
    </w:p>
    <w:p w:rsidR="00F21F40" w:rsidRDefault="00F21F40" w:rsidP="00D60817">
      <w:pPr>
        <w:shd w:val="clear" w:color="auto" w:fill="FFFFFF"/>
        <w:spacing w:after="0" w:line="208" w:lineRule="atLeast"/>
        <w:textAlignment w:val="baseline"/>
        <w:rPr>
          <w:rFonts w:ascii="Arial" w:eastAsia="Times New Roman" w:hAnsi="Arial" w:cs="Arial"/>
          <w:color w:val="333333"/>
          <w:lang w:val="en-US" w:eastAsia="es-AR"/>
        </w:rPr>
      </w:pPr>
    </w:p>
    <w:p w:rsidR="00F21F40" w:rsidRPr="00F21F40" w:rsidRDefault="00F21F40" w:rsidP="00F21F40">
      <w:pPr>
        <w:shd w:val="clear" w:color="auto" w:fill="FFFFFF"/>
        <w:spacing w:after="0" w:line="208" w:lineRule="atLeast"/>
        <w:textAlignment w:val="baseline"/>
        <w:rPr>
          <w:rFonts w:ascii="Arial" w:eastAsia="Times New Roman" w:hAnsi="Arial" w:cs="Arial"/>
          <w:color w:val="333333"/>
          <w:lang w:eastAsia="es-AR"/>
        </w:rPr>
      </w:pPr>
      <w:r w:rsidRPr="00F21F40">
        <w:rPr>
          <w:rFonts w:ascii="Arial" w:eastAsia="Times New Roman" w:hAnsi="Arial" w:cs="Arial"/>
          <w:b/>
          <w:color w:val="333333"/>
          <w:lang w:eastAsia="es-AR"/>
        </w:rPr>
        <w:t>Habeas data:</w:t>
      </w:r>
      <w:r w:rsidRPr="00F21F40">
        <w:rPr>
          <w:rFonts w:ascii="Arial" w:eastAsia="Times New Roman" w:hAnsi="Arial" w:cs="Arial"/>
          <w:color w:val="333333"/>
          <w:lang w:eastAsia="es-AR"/>
        </w:rPr>
        <w:t xml:space="preserve"> El há</w:t>
      </w:r>
      <w:r>
        <w:rPr>
          <w:rFonts w:ascii="Arial" w:eastAsia="Times New Roman" w:hAnsi="Arial" w:cs="Arial"/>
          <w:color w:val="333333"/>
          <w:lang w:eastAsia="es-AR"/>
        </w:rPr>
        <w:t xml:space="preserve">beas data, según Enrique Falcón </w:t>
      </w:r>
      <w:r w:rsidRPr="00F21F40">
        <w:rPr>
          <w:rFonts w:ascii="Arial" w:eastAsia="Times New Roman" w:hAnsi="Arial" w:cs="Arial"/>
          <w:color w:val="333333"/>
          <w:lang w:eastAsia="es-AR"/>
        </w:rPr>
        <w:t xml:space="preserve">es un remedio urgente para que las </w:t>
      </w:r>
    </w:p>
    <w:p w:rsidR="00F21F40" w:rsidRPr="00F21F40" w:rsidRDefault="00F21F40" w:rsidP="00F21F40">
      <w:pPr>
        <w:shd w:val="clear" w:color="auto" w:fill="FFFFFF"/>
        <w:spacing w:after="0" w:line="208" w:lineRule="atLeast"/>
        <w:textAlignment w:val="baseline"/>
        <w:rPr>
          <w:rFonts w:ascii="Arial" w:eastAsia="Times New Roman" w:hAnsi="Arial" w:cs="Arial"/>
          <w:color w:val="333333"/>
          <w:lang w:eastAsia="es-AR"/>
        </w:rPr>
      </w:pPr>
      <w:proofErr w:type="gramStart"/>
      <w:r w:rsidRPr="00F21F40">
        <w:rPr>
          <w:rFonts w:ascii="Arial" w:eastAsia="Times New Roman" w:hAnsi="Arial" w:cs="Arial"/>
          <w:color w:val="333333"/>
          <w:lang w:eastAsia="es-AR"/>
        </w:rPr>
        <w:t>personas</w:t>
      </w:r>
      <w:proofErr w:type="gramEnd"/>
      <w:r w:rsidRPr="00F21F40">
        <w:rPr>
          <w:rFonts w:ascii="Arial" w:eastAsia="Times New Roman" w:hAnsi="Arial" w:cs="Arial"/>
          <w:color w:val="333333"/>
          <w:lang w:eastAsia="es-AR"/>
        </w:rPr>
        <w:t xml:space="preserve"> puedan obtener el conocimiento de sus datos personales, de su finalidad </w:t>
      </w:r>
    </w:p>
    <w:p w:rsidR="00F21F40" w:rsidRPr="00F21F40" w:rsidRDefault="00F21F40" w:rsidP="00F21F40">
      <w:pPr>
        <w:shd w:val="clear" w:color="auto" w:fill="FFFFFF"/>
        <w:spacing w:after="0" w:line="208" w:lineRule="atLeast"/>
        <w:textAlignment w:val="baseline"/>
        <w:rPr>
          <w:rFonts w:ascii="Arial" w:eastAsia="Times New Roman" w:hAnsi="Arial" w:cs="Arial"/>
          <w:color w:val="333333"/>
          <w:lang w:eastAsia="es-AR"/>
        </w:rPr>
      </w:pPr>
      <w:proofErr w:type="gramStart"/>
      <w:r w:rsidRPr="00F21F40">
        <w:rPr>
          <w:rFonts w:ascii="Arial" w:eastAsia="Times New Roman" w:hAnsi="Arial" w:cs="Arial"/>
          <w:color w:val="333333"/>
          <w:lang w:eastAsia="es-AR"/>
        </w:rPr>
        <w:t>y</w:t>
      </w:r>
      <w:proofErr w:type="gramEnd"/>
      <w:r w:rsidRPr="00F21F40">
        <w:rPr>
          <w:rFonts w:ascii="Arial" w:eastAsia="Times New Roman" w:hAnsi="Arial" w:cs="Arial"/>
          <w:color w:val="333333"/>
          <w:lang w:eastAsia="es-AR"/>
        </w:rPr>
        <w:t xml:space="preserve"> en su caso, poder exigir la supresión o rectificación. </w:t>
      </w:r>
    </w:p>
    <w:p w:rsidR="00F21F40" w:rsidRPr="00F21F40" w:rsidRDefault="00F21F40" w:rsidP="00F21F40">
      <w:pPr>
        <w:shd w:val="clear" w:color="auto" w:fill="FFFFFF"/>
        <w:spacing w:after="0" w:line="208" w:lineRule="atLeast"/>
        <w:textAlignment w:val="baseline"/>
        <w:rPr>
          <w:rFonts w:ascii="Arial" w:eastAsia="Times New Roman" w:hAnsi="Arial" w:cs="Arial"/>
          <w:color w:val="333333"/>
          <w:lang w:eastAsia="es-AR"/>
        </w:rPr>
      </w:pPr>
      <w:r w:rsidRPr="00F21F40">
        <w:rPr>
          <w:rFonts w:ascii="Arial" w:eastAsia="Times New Roman" w:hAnsi="Arial" w:cs="Arial"/>
          <w:color w:val="333333"/>
          <w:lang w:eastAsia="es-AR"/>
        </w:rPr>
        <w:t xml:space="preserve">El concepto de hábeas data, se compone por una expresión latina (hábeas) y otra </w:t>
      </w:r>
      <w:r>
        <w:rPr>
          <w:rFonts w:ascii="Arial" w:eastAsia="Times New Roman" w:hAnsi="Arial" w:cs="Arial"/>
          <w:color w:val="333333"/>
          <w:lang w:eastAsia="es-AR"/>
        </w:rPr>
        <w:t>latina</w:t>
      </w:r>
      <w:r w:rsidRPr="00F21F40">
        <w:rPr>
          <w:rFonts w:ascii="Arial" w:eastAsia="Times New Roman" w:hAnsi="Arial" w:cs="Arial"/>
          <w:color w:val="333333"/>
          <w:lang w:eastAsia="es-AR"/>
        </w:rPr>
        <w:t xml:space="preserve"> (data). Para el autor de varios libros sobre el tema, Miguel Ángel </w:t>
      </w:r>
    </w:p>
    <w:p w:rsidR="00F21F40" w:rsidRPr="00F21F40" w:rsidRDefault="00F21F40" w:rsidP="00F21F40">
      <w:pPr>
        <w:shd w:val="clear" w:color="auto" w:fill="FFFFFF"/>
        <w:spacing w:after="0" w:line="208" w:lineRule="atLeast"/>
        <w:textAlignment w:val="baseline"/>
        <w:rPr>
          <w:rFonts w:ascii="Arial" w:eastAsia="Times New Roman" w:hAnsi="Arial" w:cs="Arial"/>
          <w:color w:val="333333"/>
          <w:lang w:eastAsia="es-AR"/>
        </w:rPr>
      </w:pPr>
      <w:proofErr w:type="spellStart"/>
      <w:r w:rsidRPr="00F21F40">
        <w:rPr>
          <w:rFonts w:ascii="Arial" w:eastAsia="Times New Roman" w:hAnsi="Arial" w:cs="Arial"/>
          <w:color w:val="333333"/>
          <w:lang w:eastAsia="es-AR"/>
        </w:rPr>
        <w:t>Ekmekdjian</w:t>
      </w:r>
      <w:proofErr w:type="spellEnd"/>
      <w:r w:rsidRPr="00F21F40">
        <w:rPr>
          <w:rFonts w:ascii="Arial" w:eastAsia="Times New Roman" w:hAnsi="Arial" w:cs="Arial"/>
          <w:color w:val="333333"/>
          <w:lang w:eastAsia="es-AR"/>
        </w:rPr>
        <w:t xml:space="preserve">, el nombre proviene parcialmente del hábeas corpus, en el año 1215 éste significaba “tome el cuerpo del detenido y venga a someter al Tribunal el hombre y el caso”. </w:t>
      </w:r>
    </w:p>
    <w:p w:rsidR="00F21F40" w:rsidRPr="00F21F40" w:rsidRDefault="00F21F40" w:rsidP="00F21F40">
      <w:pPr>
        <w:shd w:val="clear" w:color="auto" w:fill="FFFFFF"/>
        <w:spacing w:after="0" w:line="208" w:lineRule="atLeast"/>
        <w:textAlignment w:val="baseline"/>
        <w:rPr>
          <w:rFonts w:ascii="Arial" w:eastAsia="Times New Roman" w:hAnsi="Arial" w:cs="Arial"/>
          <w:color w:val="333333"/>
          <w:lang w:eastAsia="es-AR"/>
        </w:rPr>
      </w:pPr>
      <w:r w:rsidRPr="00F21F40">
        <w:rPr>
          <w:rFonts w:ascii="Arial" w:eastAsia="Times New Roman" w:hAnsi="Arial" w:cs="Arial"/>
          <w:color w:val="333333"/>
          <w:lang w:eastAsia="es-AR"/>
        </w:rPr>
        <w:t xml:space="preserve">De ahí que en hábeas data, la primera palabra significa “conserva o guarda tu” y la segunda palabra que significa en inglés “información o datos”, lo que quiere decir </w:t>
      </w:r>
    </w:p>
    <w:p w:rsidR="00F21F40" w:rsidRPr="00F21F40" w:rsidRDefault="00F21F40" w:rsidP="00F21F40">
      <w:pPr>
        <w:shd w:val="clear" w:color="auto" w:fill="FFFFFF"/>
        <w:spacing w:after="0" w:line="208" w:lineRule="atLeast"/>
        <w:textAlignment w:val="baseline"/>
        <w:rPr>
          <w:rFonts w:ascii="Arial" w:eastAsia="Times New Roman" w:hAnsi="Arial" w:cs="Arial"/>
          <w:color w:val="333333"/>
          <w:lang w:eastAsia="es-AR"/>
        </w:rPr>
      </w:pPr>
      <w:r w:rsidRPr="00F21F40">
        <w:rPr>
          <w:rFonts w:ascii="Arial" w:eastAsia="Times New Roman" w:hAnsi="Arial" w:cs="Arial"/>
          <w:color w:val="333333"/>
          <w:lang w:eastAsia="es-AR"/>
        </w:rPr>
        <w:t>“conservar o guardar tus datos”</w:t>
      </w:r>
      <w:r w:rsidR="002C4059">
        <w:rPr>
          <w:rFonts w:ascii="Arial" w:eastAsia="Times New Roman" w:hAnsi="Arial" w:cs="Arial"/>
          <w:color w:val="333333"/>
          <w:lang w:eastAsia="es-AR"/>
        </w:rPr>
        <w:t xml:space="preserve">; </w:t>
      </w:r>
      <w:r w:rsidRPr="00F21F40">
        <w:rPr>
          <w:rFonts w:ascii="Arial" w:eastAsia="Times New Roman" w:hAnsi="Arial" w:cs="Arial"/>
          <w:color w:val="333333"/>
          <w:lang w:eastAsia="es-AR"/>
        </w:rPr>
        <w:t xml:space="preserve">también el hábeas data se puede equiparar con el hábeas </w:t>
      </w:r>
    </w:p>
    <w:p w:rsidR="00F21F40" w:rsidRDefault="00F21F40" w:rsidP="00F21F40">
      <w:pPr>
        <w:shd w:val="clear" w:color="auto" w:fill="FFFFFF"/>
        <w:spacing w:after="0" w:line="208" w:lineRule="atLeast"/>
        <w:textAlignment w:val="baseline"/>
        <w:rPr>
          <w:rFonts w:ascii="Arial" w:eastAsia="Times New Roman" w:hAnsi="Arial" w:cs="Arial"/>
          <w:color w:val="333333"/>
          <w:lang w:eastAsia="es-AR"/>
        </w:rPr>
      </w:pPr>
      <w:proofErr w:type="gramStart"/>
      <w:r w:rsidRPr="00F21F40">
        <w:rPr>
          <w:rFonts w:ascii="Arial" w:eastAsia="Times New Roman" w:hAnsi="Arial" w:cs="Arial"/>
          <w:color w:val="333333"/>
          <w:lang w:eastAsia="es-AR"/>
        </w:rPr>
        <w:t>corpus</w:t>
      </w:r>
      <w:proofErr w:type="gramEnd"/>
      <w:r w:rsidRPr="00F21F40">
        <w:rPr>
          <w:rFonts w:ascii="Arial" w:eastAsia="Times New Roman" w:hAnsi="Arial" w:cs="Arial"/>
          <w:color w:val="333333"/>
          <w:lang w:eastAsia="es-AR"/>
        </w:rPr>
        <w:t>, así el primero sería “tráigase la información”.</w:t>
      </w:r>
    </w:p>
    <w:p w:rsidR="00FB6B0D" w:rsidRDefault="00FB6B0D" w:rsidP="00F21F40">
      <w:pPr>
        <w:shd w:val="clear" w:color="auto" w:fill="FFFFFF"/>
        <w:spacing w:after="0" w:line="208" w:lineRule="atLeast"/>
        <w:textAlignment w:val="baseline"/>
        <w:rPr>
          <w:rFonts w:ascii="Arial" w:eastAsia="Times New Roman" w:hAnsi="Arial" w:cs="Arial"/>
          <w:color w:val="333333"/>
          <w:lang w:eastAsia="es-AR"/>
        </w:rPr>
      </w:pPr>
    </w:p>
    <w:p w:rsidR="00FB6B0D" w:rsidRPr="00FB6B0D" w:rsidRDefault="00FB6B0D" w:rsidP="00FB6B0D">
      <w:pPr>
        <w:shd w:val="clear" w:color="auto" w:fill="FFFFFF"/>
        <w:spacing w:after="0" w:line="208" w:lineRule="atLeast"/>
        <w:textAlignment w:val="baseline"/>
        <w:rPr>
          <w:rFonts w:ascii="Arial" w:eastAsia="Times New Roman" w:hAnsi="Arial" w:cs="Arial"/>
          <w:color w:val="333333"/>
          <w:lang w:eastAsia="es-AR"/>
        </w:rPr>
      </w:pPr>
      <w:r>
        <w:rPr>
          <w:rFonts w:ascii="Arial" w:eastAsia="Times New Roman" w:hAnsi="Arial" w:cs="Arial"/>
          <w:color w:val="333333"/>
          <w:lang w:eastAsia="es-AR"/>
        </w:rPr>
        <w:t>A</w:t>
      </w:r>
      <w:r w:rsidRPr="00FB6B0D">
        <w:rPr>
          <w:rFonts w:ascii="Arial" w:eastAsia="Times New Roman" w:hAnsi="Arial" w:cs="Arial"/>
          <w:color w:val="333333"/>
          <w:lang w:eastAsia="es-AR"/>
        </w:rPr>
        <w:t>tendiendo a los países que cuentan con una legislación sobre hábeas data, es imperante mencionar a Alemania</w:t>
      </w:r>
      <w:r>
        <w:rPr>
          <w:rFonts w:ascii="Arial" w:eastAsia="Times New Roman" w:hAnsi="Arial" w:cs="Arial"/>
          <w:color w:val="333333"/>
          <w:lang w:eastAsia="es-AR"/>
        </w:rPr>
        <w:t xml:space="preserve">, que </w:t>
      </w:r>
      <w:r w:rsidRPr="00FB6B0D">
        <w:rPr>
          <w:rFonts w:ascii="Arial" w:eastAsia="Times New Roman" w:hAnsi="Arial" w:cs="Arial"/>
          <w:b/>
          <w:color w:val="333333"/>
          <w:lang w:eastAsia="es-AR"/>
        </w:rPr>
        <w:t>en 1919, la República de Weimar</w:t>
      </w:r>
      <w:r w:rsidRPr="00FB6B0D">
        <w:rPr>
          <w:rFonts w:ascii="Arial" w:eastAsia="Times New Roman" w:hAnsi="Arial" w:cs="Arial"/>
          <w:color w:val="333333"/>
          <w:lang w:eastAsia="es-AR"/>
        </w:rPr>
        <w:t>, contempló considerar para los funcio</w:t>
      </w:r>
      <w:r>
        <w:rPr>
          <w:rFonts w:ascii="Arial" w:eastAsia="Times New Roman" w:hAnsi="Arial" w:cs="Arial"/>
          <w:color w:val="333333"/>
          <w:lang w:eastAsia="es-AR"/>
        </w:rPr>
        <w:t xml:space="preserve">narios públicos, el derecho de </w:t>
      </w:r>
      <w:r w:rsidRPr="00FB6B0D">
        <w:rPr>
          <w:rFonts w:ascii="Arial" w:eastAsia="Times New Roman" w:hAnsi="Arial" w:cs="Arial"/>
          <w:color w:val="333333"/>
          <w:lang w:eastAsia="es-AR"/>
        </w:rPr>
        <w:t>acceder a sus expedientes personales en los</w:t>
      </w:r>
      <w:r>
        <w:rPr>
          <w:rFonts w:ascii="Arial" w:eastAsia="Times New Roman" w:hAnsi="Arial" w:cs="Arial"/>
          <w:color w:val="333333"/>
          <w:lang w:eastAsia="es-AR"/>
        </w:rPr>
        <w:t xml:space="preserve"> respectivos procedimientos </w:t>
      </w:r>
      <w:r w:rsidRPr="00FB6B0D">
        <w:rPr>
          <w:rFonts w:ascii="Arial" w:eastAsia="Times New Roman" w:hAnsi="Arial" w:cs="Arial"/>
          <w:color w:val="333333"/>
          <w:lang w:eastAsia="es-AR"/>
        </w:rPr>
        <w:t xml:space="preserve">disciplinarios y reguló la inscripción de los datos personales a dichos </w:t>
      </w:r>
    </w:p>
    <w:p w:rsidR="00FB6B0D" w:rsidRPr="00FB6B0D" w:rsidRDefault="00FB6B0D" w:rsidP="00FB6B0D">
      <w:pPr>
        <w:shd w:val="clear" w:color="auto" w:fill="FFFFFF"/>
        <w:spacing w:after="0" w:line="208" w:lineRule="atLeast"/>
        <w:textAlignment w:val="baseline"/>
        <w:rPr>
          <w:rFonts w:ascii="Arial" w:eastAsia="Times New Roman" w:hAnsi="Arial" w:cs="Arial"/>
          <w:color w:val="333333"/>
          <w:lang w:eastAsia="es-AR"/>
        </w:rPr>
      </w:pPr>
      <w:proofErr w:type="gramStart"/>
      <w:r w:rsidRPr="00FB6B0D">
        <w:rPr>
          <w:rFonts w:ascii="Arial" w:eastAsia="Times New Roman" w:hAnsi="Arial" w:cs="Arial"/>
          <w:color w:val="333333"/>
          <w:lang w:eastAsia="es-AR"/>
        </w:rPr>
        <w:t>procedimientos</w:t>
      </w:r>
      <w:proofErr w:type="gramEnd"/>
      <w:r w:rsidRPr="00FB6B0D">
        <w:rPr>
          <w:rFonts w:ascii="Arial" w:eastAsia="Times New Roman" w:hAnsi="Arial" w:cs="Arial"/>
          <w:color w:val="333333"/>
          <w:lang w:eastAsia="es-AR"/>
        </w:rPr>
        <w:t xml:space="preserve">. </w:t>
      </w:r>
    </w:p>
    <w:p w:rsidR="00FB6B0D" w:rsidRDefault="00FB6B0D" w:rsidP="00FB6B0D">
      <w:pPr>
        <w:shd w:val="clear" w:color="auto" w:fill="FFFFFF"/>
        <w:spacing w:after="0" w:line="208" w:lineRule="atLeast"/>
        <w:textAlignment w:val="baseline"/>
        <w:rPr>
          <w:rFonts w:ascii="Arial" w:eastAsia="Times New Roman" w:hAnsi="Arial" w:cs="Arial"/>
          <w:color w:val="333333"/>
          <w:lang w:eastAsia="es-AR"/>
        </w:rPr>
      </w:pPr>
      <w:r w:rsidRPr="00FB6B0D">
        <w:rPr>
          <w:rFonts w:ascii="Arial" w:eastAsia="Times New Roman" w:hAnsi="Arial" w:cs="Arial"/>
          <w:color w:val="333333"/>
          <w:lang w:eastAsia="es-AR"/>
        </w:rPr>
        <w:t xml:space="preserve">En el año </w:t>
      </w:r>
      <w:r w:rsidRPr="00FB6B0D">
        <w:rPr>
          <w:rFonts w:ascii="Arial" w:eastAsia="Times New Roman" w:hAnsi="Arial" w:cs="Arial"/>
          <w:b/>
          <w:color w:val="333333"/>
          <w:lang w:eastAsia="es-AR"/>
        </w:rPr>
        <w:t>1970, el Estado de</w:t>
      </w:r>
      <w:r>
        <w:rPr>
          <w:rFonts w:ascii="Arial" w:eastAsia="Times New Roman" w:hAnsi="Arial" w:cs="Arial"/>
          <w:b/>
          <w:color w:val="333333"/>
          <w:lang w:eastAsia="es-AR"/>
        </w:rPr>
        <w:t>l</w:t>
      </w:r>
      <w:r w:rsidRPr="00FB6B0D">
        <w:rPr>
          <w:rFonts w:ascii="Arial" w:eastAsia="Times New Roman" w:hAnsi="Arial" w:cs="Arial"/>
          <w:b/>
          <w:color w:val="333333"/>
          <w:lang w:eastAsia="es-AR"/>
        </w:rPr>
        <w:t xml:space="preserve"> </w:t>
      </w:r>
      <w:proofErr w:type="spellStart"/>
      <w:r w:rsidRPr="00FB6B0D">
        <w:rPr>
          <w:rFonts w:ascii="Arial" w:eastAsia="Times New Roman" w:hAnsi="Arial" w:cs="Arial"/>
          <w:b/>
          <w:color w:val="333333"/>
          <w:lang w:eastAsia="es-AR"/>
        </w:rPr>
        <w:t>Land</w:t>
      </w:r>
      <w:proofErr w:type="spellEnd"/>
      <w:r w:rsidRPr="00FB6B0D">
        <w:rPr>
          <w:rFonts w:ascii="Arial" w:eastAsia="Times New Roman" w:hAnsi="Arial" w:cs="Arial"/>
          <w:b/>
          <w:color w:val="333333"/>
          <w:lang w:eastAsia="es-AR"/>
        </w:rPr>
        <w:t xml:space="preserve"> de </w:t>
      </w:r>
      <w:proofErr w:type="spellStart"/>
      <w:r w:rsidRPr="00FB6B0D">
        <w:rPr>
          <w:rFonts w:ascii="Arial" w:eastAsia="Times New Roman" w:hAnsi="Arial" w:cs="Arial"/>
          <w:b/>
          <w:color w:val="333333"/>
          <w:lang w:eastAsia="es-AR"/>
        </w:rPr>
        <w:t>Hessen</w:t>
      </w:r>
      <w:proofErr w:type="spellEnd"/>
      <w:r w:rsidRPr="00FB6B0D">
        <w:rPr>
          <w:rFonts w:ascii="Arial" w:eastAsia="Times New Roman" w:hAnsi="Arial" w:cs="Arial"/>
          <w:color w:val="333333"/>
          <w:lang w:eastAsia="es-AR"/>
        </w:rPr>
        <w:t>, A</w:t>
      </w:r>
      <w:r>
        <w:rPr>
          <w:rFonts w:ascii="Arial" w:eastAsia="Times New Roman" w:hAnsi="Arial" w:cs="Arial"/>
          <w:color w:val="333333"/>
          <w:lang w:eastAsia="es-AR"/>
        </w:rPr>
        <w:t xml:space="preserve">lemania, promulgó la ley sobre </w:t>
      </w:r>
      <w:r w:rsidRPr="00FB6B0D">
        <w:rPr>
          <w:rFonts w:ascii="Arial" w:eastAsia="Times New Roman" w:hAnsi="Arial" w:cs="Arial"/>
          <w:color w:val="333333"/>
          <w:lang w:eastAsia="es-AR"/>
        </w:rPr>
        <w:t xml:space="preserve">datos personales, denominada </w:t>
      </w:r>
      <w:r w:rsidRPr="00FB6B0D">
        <w:rPr>
          <w:rFonts w:ascii="Arial" w:eastAsia="Times New Roman" w:hAnsi="Arial" w:cs="Arial"/>
          <w:b/>
          <w:color w:val="333333"/>
          <w:lang w:eastAsia="es-AR"/>
        </w:rPr>
        <w:t>“</w:t>
      </w:r>
      <w:proofErr w:type="spellStart"/>
      <w:r w:rsidRPr="00FB6B0D">
        <w:rPr>
          <w:rFonts w:ascii="Arial" w:eastAsia="Times New Roman" w:hAnsi="Arial" w:cs="Arial"/>
          <w:b/>
          <w:color w:val="333333"/>
          <w:lang w:eastAsia="es-AR"/>
        </w:rPr>
        <w:t>Datenschutz</w:t>
      </w:r>
      <w:proofErr w:type="spellEnd"/>
      <w:r w:rsidRPr="00FB6B0D">
        <w:rPr>
          <w:rFonts w:ascii="Arial" w:eastAsia="Times New Roman" w:hAnsi="Arial" w:cs="Arial"/>
          <w:b/>
          <w:color w:val="333333"/>
          <w:lang w:eastAsia="es-AR"/>
        </w:rPr>
        <w:t>”</w:t>
      </w:r>
      <w:r w:rsidRPr="00FB6B0D">
        <w:rPr>
          <w:rFonts w:ascii="Arial" w:eastAsia="Times New Roman" w:hAnsi="Arial" w:cs="Arial"/>
          <w:color w:val="333333"/>
          <w:lang w:eastAsia="es-AR"/>
        </w:rPr>
        <w:t xml:space="preserve">. Así, éste ocupó </w:t>
      </w:r>
      <w:r>
        <w:rPr>
          <w:rFonts w:ascii="Arial" w:eastAsia="Times New Roman" w:hAnsi="Arial" w:cs="Arial"/>
          <w:color w:val="333333"/>
          <w:lang w:eastAsia="es-AR"/>
        </w:rPr>
        <w:t xml:space="preserve">el primer lugar en la </w:t>
      </w:r>
      <w:r w:rsidRPr="00FB6B0D">
        <w:rPr>
          <w:rFonts w:ascii="Arial" w:eastAsia="Times New Roman" w:hAnsi="Arial" w:cs="Arial"/>
          <w:color w:val="333333"/>
          <w:lang w:eastAsia="es-AR"/>
        </w:rPr>
        <w:t>emisión de una legislación especial en la mat</w:t>
      </w:r>
      <w:r>
        <w:rPr>
          <w:rFonts w:ascii="Arial" w:eastAsia="Times New Roman" w:hAnsi="Arial" w:cs="Arial"/>
          <w:color w:val="333333"/>
          <w:lang w:eastAsia="es-AR"/>
        </w:rPr>
        <w:t xml:space="preserve">eria y fue el precedente de la </w:t>
      </w:r>
      <w:r w:rsidRPr="00FB6B0D">
        <w:rPr>
          <w:rFonts w:ascii="Arial" w:eastAsia="Times New Roman" w:hAnsi="Arial" w:cs="Arial"/>
          <w:color w:val="333333"/>
          <w:lang w:eastAsia="es-AR"/>
        </w:rPr>
        <w:t xml:space="preserve">promulgación de la legislación federal del país. En </w:t>
      </w:r>
      <w:r>
        <w:rPr>
          <w:rFonts w:ascii="Arial" w:eastAsia="Times New Roman" w:hAnsi="Arial" w:cs="Arial"/>
          <w:color w:val="333333"/>
          <w:lang w:eastAsia="es-AR"/>
        </w:rPr>
        <w:t xml:space="preserve">el año 1977, se creó la figura </w:t>
      </w:r>
      <w:r w:rsidRPr="00FB6B0D">
        <w:rPr>
          <w:rFonts w:ascii="Arial" w:eastAsia="Times New Roman" w:hAnsi="Arial" w:cs="Arial"/>
          <w:color w:val="333333"/>
          <w:lang w:eastAsia="es-AR"/>
        </w:rPr>
        <w:t xml:space="preserve">del </w:t>
      </w:r>
      <w:proofErr w:type="spellStart"/>
      <w:r w:rsidRPr="00FB6B0D">
        <w:rPr>
          <w:rFonts w:ascii="Arial" w:eastAsia="Times New Roman" w:hAnsi="Arial" w:cs="Arial"/>
          <w:color w:val="333333"/>
          <w:lang w:eastAsia="es-AR"/>
        </w:rPr>
        <w:t>Comisionario</w:t>
      </w:r>
      <w:proofErr w:type="spellEnd"/>
      <w:r w:rsidRPr="00FB6B0D">
        <w:rPr>
          <w:rFonts w:ascii="Arial" w:eastAsia="Times New Roman" w:hAnsi="Arial" w:cs="Arial"/>
          <w:color w:val="333333"/>
          <w:lang w:eastAsia="es-AR"/>
        </w:rPr>
        <w:t xml:space="preserve"> Feder</w:t>
      </w:r>
      <w:r>
        <w:rPr>
          <w:rFonts w:ascii="Arial" w:eastAsia="Times New Roman" w:hAnsi="Arial" w:cs="Arial"/>
          <w:color w:val="333333"/>
          <w:lang w:eastAsia="es-AR"/>
        </w:rPr>
        <w:t>al para la Protección de Datos.</w:t>
      </w:r>
    </w:p>
    <w:p w:rsidR="00FB6B0D" w:rsidRPr="00FB6B0D" w:rsidRDefault="00FB6B0D" w:rsidP="00FB6B0D">
      <w:pPr>
        <w:shd w:val="clear" w:color="auto" w:fill="FFFFFF"/>
        <w:spacing w:after="0" w:line="208" w:lineRule="atLeast"/>
        <w:textAlignment w:val="baseline"/>
        <w:rPr>
          <w:rFonts w:ascii="Arial" w:eastAsia="Times New Roman" w:hAnsi="Arial" w:cs="Arial"/>
          <w:color w:val="333333"/>
          <w:lang w:eastAsia="es-AR"/>
        </w:rPr>
      </w:pPr>
    </w:p>
    <w:p w:rsidR="00FB6B0D" w:rsidRPr="00FB6B0D" w:rsidRDefault="00FB6B0D" w:rsidP="00FB6B0D">
      <w:pPr>
        <w:shd w:val="clear" w:color="auto" w:fill="FFFFFF"/>
        <w:spacing w:after="0" w:line="208" w:lineRule="atLeast"/>
        <w:textAlignment w:val="baseline"/>
        <w:rPr>
          <w:rFonts w:ascii="Arial" w:eastAsia="Times New Roman" w:hAnsi="Arial" w:cs="Arial"/>
          <w:color w:val="333333"/>
          <w:lang w:eastAsia="es-AR"/>
        </w:rPr>
      </w:pPr>
      <w:r w:rsidRPr="00FB6B0D">
        <w:rPr>
          <w:rFonts w:ascii="Arial" w:eastAsia="Times New Roman" w:hAnsi="Arial" w:cs="Arial"/>
          <w:color w:val="333333"/>
          <w:lang w:eastAsia="es-AR"/>
        </w:rPr>
        <w:t xml:space="preserve">La iniciativa legislativa alemana fue seguida por diversos países, entre ellos, </w:t>
      </w:r>
    </w:p>
    <w:p w:rsidR="00FB6B0D" w:rsidRPr="00FB6B0D" w:rsidRDefault="00FB6B0D" w:rsidP="00FB6B0D">
      <w:pPr>
        <w:shd w:val="clear" w:color="auto" w:fill="FFFFFF"/>
        <w:spacing w:after="0" w:line="208" w:lineRule="atLeast"/>
        <w:textAlignment w:val="baseline"/>
        <w:rPr>
          <w:rFonts w:ascii="Arial" w:eastAsia="Times New Roman" w:hAnsi="Arial" w:cs="Arial"/>
          <w:color w:val="333333"/>
          <w:lang w:eastAsia="es-AR"/>
        </w:rPr>
      </w:pPr>
      <w:r w:rsidRPr="00FB6B0D">
        <w:rPr>
          <w:rFonts w:ascii="Arial" w:eastAsia="Times New Roman" w:hAnsi="Arial" w:cs="Arial"/>
          <w:color w:val="333333"/>
          <w:lang w:eastAsia="es-AR"/>
        </w:rPr>
        <w:t>Estados Unidos de América, que promulgó la Ley Federal “</w:t>
      </w:r>
      <w:proofErr w:type="spellStart"/>
      <w:r w:rsidRPr="00FB6B0D">
        <w:rPr>
          <w:rFonts w:ascii="Arial" w:eastAsia="Times New Roman" w:hAnsi="Arial" w:cs="Arial"/>
          <w:color w:val="333333"/>
          <w:lang w:eastAsia="es-AR"/>
        </w:rPr>
        <w:t>Privacy</w:t>
      </w:r>
      <w:proofErr w:type="spellEnd"/>
      <w:r w:rsidRPr="00FB6B0D">
        <w:rPr>
          <w:rFonts w:ascii="Arial" w:eastAsia="Times New Roman" w:hAnsi="Arial" w:cs="Arial"/>
          <w:color w:val="333333"/>
          <w:lang w:eastAsia="es-AR"/>
        </w:rPr>
        <w:t xml:space="preserve"> </w:t>
      </w:r>
      <w:proofErr w:type="spellStart"/>
      <w:r w:rsidRPr="00FB6B0D">
        <w:rPr>
          <w:rFonts w:ascii="Arial" w:eastAsia="Times New Roman" w:hAnsi="Arial" w:cs="Arial"/>
          <w:color w:val="333333"/>
          <w:lang w:eastAsia="es-AR"/>
        </w:rPr>
        <w:t>Act</w:t>
      </w:r>
      <w:proofErr w:type="spellEnd"/>
      <w:r w:rsidRPr="00FB6B0D">
        <w:rPr>
          <w:rFonts w:ascii="Arial" w:eastAsia="Times New Roman" w:hAnsi="Arial" w:cs="Arial"/>
          <w:color w:val="333333"/>
          <w:lang w:eastAsia="es-AR"/>
        </w:rPr>
        <w:t xml:space="preserve">” (Ley de </w:t>
      </w:r>
    </w:p>
    <w:p w:rsidR="00FB6B0D" w:rsidRPr="00FB6B0D" w:rsidRDefault="00FB6B0D" w:rsidP="00FB6B0D">
      <w:pPr>
        <w:shd w:val="clear" w:color="auto" w:fill="FFFFFF"/>
        <w:spacing w:after="0" w:line="208" w:lineRule="atLeast"/>
        <w:textAlignment w:val="baseline"/>
        <w:rPr>
          <w:rFonts w:ascii="Arial" w:eastAsia="Times New Roman" w:hAnsi="Arial" w:cs="Arial"/>
          <w:color w:val="333333"/>
          <w:lang w:eastAsia="es-AR"/>
        </w:rPr>
      </w:pPr>
      <w:r w:rsidRPr="00FB6B0D">
        <w:rPr>
          <w:rFonts w:ascii="Arial" w:eastAsia="Times New Roman" w:hAnsi="Arial" w:cs="Arial"/>
          <w:color w:val="333333"/>
          <w:lang w:eastAsia="es-AR"/>
        </w:rPr>
        <w:t xml:space="preserve">Privacidad) el 31 de diciembre de 1974, la cual permite a cada Estado crear sus </w:t>
      </w:r>
    </w:p>
    <w:p w:rsidR="00FB6B0D" w:rsidRPr="00FB6B0D" w:rsidRDefault="00FB6B0D" w:rsidP="00FB6B0D">
      <w:pPr>
        <w:shd w:val="clear" w:color="auto" w:fill="FFFFFF"/>
        <w:spacing w:after="0" w:line="208" w:lineRule="atLeast"/>
        <w:textAlignment w:val="baseline"/>
        <w:rPr>
          <w:rFonts w:ascii="Arial" w:eastAsia="Times New Roman" w:hAnsi="Arial" w:cs="Arial"/>
          <w:color w:val="333333"/>
          <w:lang w:eastAsia="es-AR"/>
        </w:rPr>
      </w:pPr>
      <w:proofErr w:type="gramStart"/>
      <w:r w:rsidRPr="00FB6B0D">
        <w:rPr>
          <w:rFonts w:ascii="Arial" w:eastAsia="Times New Roman" w:hAnsi="Arial" w:cs="Arial"/>
          <w:color w:val="333333"/>
          <w:lang w:eastAsia="es-AR"/>
        </w:rPr>
        <w:t>propias</w:t>
      </w:r>
      <w:proofErr w:type="gramEnd"/>
      <w:r w:rsidRPr="00FB6B0D">
        <w:rPr>
          <w:rFonts w:ascii="Arial" w:eastAsia="Times New Roman" w:hAnsi="Arial" w:cs="Arial"/>
          <w:color w:val="333333"/>
          <w:lang w:eastAsia="es-AR"/>
        </w:rPr>
        <w:t xml:space="preserve"> legislaciones en dicha materia, siempre y cuando no sean contrarias a la </w:t>
      </w:r>
    </w:p>
    <w:p w:rsidR="00FB6B0D" w:rsidRPr="00FB6B0D" w:rsidRDefault="00FB6B0D" w:rsidP="00FB6B0D">
      <w:pPr>
        <w:shd w:val="clear" w:color="auto" w:fill="FFFFFF"/>
        <w:spacing w:after="0" w:line="208" w:lineRule="atLeast"/>
        <w:textAlignment w:val="baseline"/>
        <w:rPr>
          <w:rFonts w:ascii="Arial" w:eastAsia="Times New Roman" w:hAnsi="Arial" w:cs="Arial"/>
          <w:color w:val="333333"/>
          <w:lang w:eastAsia="es-AR"/>
        </w:rPr>
      </w:pPr>
      <w:proofErr w:type="gramStart"/>
      <w:r w:rsidRPr="00FB6B0D">
        <w:rPr>
          <w:rFonts w:ascii="Arial" w:eastAsia="Times New Roman" w:hAnsi="Arial" w:cs="Arial"/>
          <w:color w:val="333333"/>
          <w:lang w:eastAsia="es-AR"/>
        </w:rPr>
        <w:t>federal</w:t>
      </w:r>
      <w:proofErr w:type="gramEnd"/>
      <w:r w:rsidRPr="00FB6B0D">
        <w:rPr>
          <w:rFonts w:ascii="Arial" w:eastAsia="Times New Roman" w:hAnsi="Arial" w:cs="Arial"/>
          <w:color w:val="333333"/>
          <w:lang w:eastAsia="es-AR"/>
        </w:rPr>
        <w:t>.</w:t>
      </w:r>
    </w:p>
    <w:p w:rsidR="00D60817" w:rsidRPr="00DF1868" w:rsidRDefault="00D60817" w:rsidP="00DF1868">
      <w:pPr>
        <w:shd w:val="clear" w:color="auto" w:fill="FFFFFF"/>
        <w:spacing w:before="96" w:after="120" w:line="249" w:lineRule="atLeast"/>
        <w:rPr>
          <w:rFonts w:ascii="Arial" w:eastAsia="Times New Roman" w:hAnsi="Arial" w:cs="Arial"/>
          <w:b/>
          <w:color w:val="4F6228" w:themeColor="accent3" w:themeShade="80"/>
          <w:lang w:eastAsia="es-AR"/>
        </w:rPr>
      </w:pPr>
    </w:p>
    <w:p w:rsidR="00DF1868" w:rsidRPr="00A75C07" w:rsidRDefault="00DF1868" w:rsidP="00DF1868">
      <w:pPr>
        <w:shd w:val="clear" w:color="auto" w:fill="FFFFFF"/>
        <w:spacing w:before="100" w:beforeAutospacing="1" w:after="24" w:line="249" w:lineRule="atLeast"/>
        <w:ind w:left="24"/>
        <w:rPr>
          <w:rFonts w:ascii="Arial" w:eastAsia="Times New Roman" w:hAnsi="Arial" w:cs="Arial"/>
          <w:color w:val="000000"/>
          <w:lang w:eastAsia="es-AR"/>
        </w:rPr>
      </w:pPr>
    </w:p>
    <w:p w:rsidR="00A75C07" w:rsidRPr="00F21F40" w:rsidRDefault="00A75C07" w:rsidP="00A75C07">
      <w:pPr>
        <w:pStyle w:val="NormalWeb"/>
        <w:shd w:val="clear" w:color="auto" w:fill="FFFFFF"/>
        <w:spacing w:before="96" w:beforeAutospacing="0" w:after="120" w:afterAutospacing="0" w:line="249" w:lineRule="atLeast"/>
        <w:rPr>
          <w:rFonts w:ascii="Arial" w:hAnsi="Arial" w:cs="Arial"/>
          <w:color w:val="1F497D" w:themeColor="text2"/>
          <w:sz w:val="22"/>
          <w:szCs w:val="22"/>
        </w:rPr>
      </w:pPr>
    </w:p>
    <w:p w:rsidR="00A75C07" w:rsidRPr="00F21F40" w:rsidRDefault="00A75C07"/>
    <w:sectPr w:rsidR="00A75C07" w:rsidRPr="00F21F40" w:rsidSect="00A75C07">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99D"/>
    <w:multiLevelType w:val="multilevel"/>
    <w:tmpl w:val="FE0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8D58D4"/>
    <w:multiLevelType w:val="multilevel"/>
    <w:tmpl w:val="FC6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30ABF"/>
    <w:multiLevelType w:val="multilevel"/>
    <w:tmpl w:val="E8A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3307B3"/>
    <w:multiLevelType w:val="multilevel"/>
    <w:tmpl w:val="041A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B81E95"/>
    <w:multiLevelType w:val="multilevel"/>
    <w:tmpl w:val="C03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510BA8"/>
    <w:multiLevelType w:val="multilevel"/>
    <w:tmpl w:val="DE4C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580A1A"/>
    <w:multiLevelType w:val="multilevel"/>
    <w:tmpl w:val="916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2D213B"/>
    <w:multiLevelType w:val="multilevel"/>
    <w:tmpl w:val="E3F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5651EF"/>
    <w:multiLevelType w:val="multilevel"/>
    <w:tmpl w:val="EA16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
  </w:num>
  <w:num w:numId="4">
    <w:abstractNumId w:val="5"/>
  </w:num>
  <w:num w:numId="5">
    <w:abstractNumId w:val="4"/>
  </w:num>
  <w:num w:numId="6">
    <w:abstractNumId w:val="8"/>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75C07"/>
    <w:rsid w:val="0012789C"/>
    <w:rsid w:val="002C4059"/>
    <w:rsid w:val="007C7176"/>
    <w:rsid w:val="0099795A"/>
    <w:rsid w:val="00A75C07"/>
    <w:rsid w:val="00AA3833"/>
    <w:rsid w:val="00C802B8"/>
    <w:rsid w:val="00D60817"/>
    <w:rsid w:val="00DF1868"/>
    <w:rsid w:val="00F21F40"/>
    <w:rsid w:val="00FB6B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5A"/>
  </w:style>
  <w:style w:type="paragraph" w:styleId="Ttulo2">
    <w:name w:val="heading 2"/>
    <w:basedOn w:val="Normal"/>
    <w:link w:val="Ttulo2Car"/>
    <w:uiPriority w:val="9"/>
    <w:qFormat/>
    <w:rsid w:val="00D6081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5C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75C07"/>
  </w:style>
  <w:style w:type="character" w:styleId="Hipervnculo">
    <w:name w:val="Hyperlink"/>
    <w:basedOn w:val="Fuentedeprrafopredeter"/>
    <w:uiPriority w:val="99"/>
    <w:semiHidden/>
    <w:unhideWhenUsed/>
    <w:rsid w:val="00A75C07"/>
    <w:rPr>
      <w:color w:val="0000FF"/>
      <w:u w:val="single"/>
    </w:rPr>
  </w:style>
  <w:style w:type="character" w:customStyle="1" w:styleId="Ttulo2Car">
    <w:name w:val="Título 2 Car"/>
    <w:basedOn w:val="Fuentedeprrafopredeter"/>
    <w:link w:val="Ttulo2"/>
    <w:uiPriority w:val="9"/>
    <w:rsid w:val="00D60817"/>
    <w:rPr>
      <w:rFonts w:ascii="Times New Roman" w:eastAsia="Times New Roman" w:hAnsi="Times New Roman" w:cs="Times New Roman"/>
      <w:b/>
      <w:bCs/>
      <w:sz w:val="36"/>
      <w:szCs w:val="36"/>
      <w:lang w:eastAsia="es-AR"/>
    </w:rPr>
  </w:style>
</w:styles>
</file>

<file path=word/webSettings.xml><?xml version="1.0" encoding="utf-8"?>
<w:webSettings xmlns:r="http://schemas.openxmlformats.org/officeDocument/2006/relationships" xmlns:w="http://schemas.openxmlformats.org/wordprocessingml/2006/main">
  <w:divs>
    <w:div w:id="999120635">
      <w:bodyDiv w:val="1"/>
      <w:marLeft w:val="0"/>
      <w:marRight w:val="0"/>
      <w:marTop w:val="0"/>
      <w:marBottom w:val="0"/>
      <w:divBdr>
        <w:top w:val="none" w:sz="0" w:space="0" w:color="auto"/>
        <w:left w:val="none" w:sz="0" w:space="0" w:color="auto"/>
        <w:bottom w:val="none" w:sz="0" w:space="0" w:color="auto"/>
        <w:right w:val="none" w:sz="0" w:space="0" w:color="auto"/>
      </w:divBdr>
    </w:div>
    <w:div w:id="1383478084">
      <w:bodyDiv w:val="1"/>
      <w:marLeft w:val="0"/>
      <w:marRight w:val="0"/>
      <w:marTop w:val="0"/>
      <w:marBottom w:val="0"/>
      <w:divBdr>
        <w:top w:val="none" w:sz="0" w:space="0" w:color="auto"/>
        <w:left w:val="none" w:sz="0" w:space="0" w:color="auto"/>
        <w:bottom w:val="none" w:sz="0" w:space="0" w:color="auto"/>
        <w:right w:val="none" w:sz="0" w:space="0" w:color="auto"/>
      </w:divBdr>
    </w:div>
    <w:div w:id="1726490643">
      <w:bodyDiv w:val="1"/>
      <w:marLeft w:val="0"/>
      <w:marRight w:val="0"/>
      <w:marTop w:val="0"/>
      <w:marBottom w:val="0"/>
      <w:divBdr>
        <w:top w:val="none" w:sz="0" w:space="0" w:color="auto"/>
        <w:left w:val="none" w:sz="0" w:space="0" w:color="auto"/>
        <w:bottom w:val="none" w:sz="0" w:space="0" w:color="auto"/>
        <w:right w:val="none" w:sz="0" w:space="0" w:color="auto"/>
      </w:divBdr>
    </w:div>
    <w:div w:id="2008511333">
      <w:bodyDiv w:val="1"/>
      <w:marLeft w:val="0"/>
      <w:marRight w:val="0"/>
      <w:marTop w:val="0"/>
      <w:marBottom w:val="0"/>
      <w:divBdr>
        <w:top w:val="none" w:sz="0" w:space="0" w:color="auto"/>
        <w:left w:val="none" w:sz="0" w:space="0" w:color="auto"/>
        <w:bottom w:val="none" w:sz="0" w:space="0" w:color="auto"/>
        <w:right w:val="none" w:sz="0" w:space="0" w:color="auto"/>
      </w:divBdr>
      <w:divsChild>
        <w:div w:id="1670719210">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rte_Suprema_de_Justicia_de_la_Naci%C3%B3n" TargetMode="External"/><Relationship Id="rId13" Type="http://schemas.openxmlformats.org/officeDocument/2006/relationships/hyperlink" Target="http://es.wikipedia.org/wiki/1957" TargetMode="External"/><Relationship Id="rId18" Type="http://schemas.openxmlformats.org/officeDocument/2006/relationships/hyperlink" Target="http://es.wikipedia.org/wiki/Provincias_de_Argentina" TargetMode="External"/><Relationship Id="rId26" Type="http://schemas.openxmlformats.org/officeDocument/2006/relationships/hyperlink" Target="http://es.wikipedia.org/wiki/Bundestag" TargetMode="External"/><Relationship Id="rId3" Type="http://schemas.openxmlformats.org/officeDocument/2006/relationships/settings" Target="settings.xml"/><Relationship Id="rId21" Type="http://schemas.openxmlformats.org/officeDocument/2006/relationships/hyperlink" Target="http://es.wikipedia.org/wiki/Schleswig-Holstein" TargetMode="External"/><Relationship Id="rId34" Type="http://schemas.openxmlformats.org/officeDocument/2006/relationships/theme" Target="theme/theme1.xml"/><Relationship Id="rId7" Type="http://schemas.openxmlformats.org/officeDocument/2006/relationships/hyperlink" Target="http://es.wikipedia.org/wiki/Rep%C3%BAblica_Argentina" TargetMode="External"/><Relationship Id="rId12" Type="http://schemas.openxmlformats.org/officeDocument/2006/relationships/hyperlink" Target="http://es.wikipedia.org/wiki/Recurso_de_amparo" TargetMode="External"/><Relationship Id="rId17" Type="http://schemas.openxmlformats.org/officeDocument/2006/relationships/hyperlink" Target="http://es.wikipedia.org/wiki/Recurso_de_amparo" TargetMode="External"/><Relationship Id="rId25" Type="http://schemas.openxmlformats.org/officeDocument/2006/relationships/hyperlink" Target="http://es.wikipedia.org/wiki/Organizaci%C3%B3n_territorial_de_Alemani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1968" TargetMode="External"/><Relationship Id="rId20" Type="http://schemas.openxmlformats.org/officeDocument/2006/relationships/hyperlink" Target="http://es.wikipedia.org/wiki/Organizaci%C3%B3n_territorial_de_Alemania" TargetMode="External"/><Relationship Id="rId29" Type="http://schemas.openxmlformats.org/officeDocument/2006/relationships/hyperlink" Target="http://es.wikipedia.org/wiki/NSDAP" TargetMode="External"/><Relationship Id="rId1" Type="http://schemas.openxmlformats.org/officeDocument/2006/relationships/numbering" Target="numbering.xml"/><Relationship Id="rId6" Type="http://schemas.openxmlformats.org/officeDocument/2006/relationships/hyperlink" Target="http://es.wikipedia.org/wiki/1957" TargetMode="External"/><Relationship Id="rId11" Type="http://schemas.openxmlformats.org/officeDocument/2006/relationships/hyperlink" Target="http://es.wikipedia.org/wiki/Tom%C3%A1s_D._Casares" TargetMode="External"/><Relationship Id="rId24" Type="http://schemas.openxmlformats.org/officeDocument/2006/relationships/hyperlink" Target="http://es.wikipedia.org/wiki/Bundestag" TargetMode="External"/><Relationship Id="rId32" Type="http://schemas.openxmlformats.org/officeDocument/2006/relationships/hyperlink" Target="http://es.wikipedia.org/wiki/Ley_Org%C3%A1nica" TargetMode="External"/><Relationship Id="rId5" Type="http://schemas.openxmlformats.org/officeDocument/2006/relationships/hyperlink" Target="http://arielrodo.weebly.com/uploads/1/7/0/4/17040520/von_mnch__amparo_constitucional.pdf" TargetMode="External"/><Relationship Id="rId15" Type="http://schemas.openxmlformats.org/officeDocument/2006/relationships/hyperlink" Target="http://es.wikipedia.org/wiki/1966" TargetMode="External"/><Relationship Id="rId23" Type="http://schemas.openxmlformats.org/officeDocument/2006/relationships/hyperlink" Target="http://es.wikipedia.org/wiki/Tribunal_de_Justicia_de_la_Uni%C3%B3n_Europea" TargetMode="External"/><Relationship Id="rId28" Type="http://schemas.openxmlformats.org/officeDocument/2006/relationships/hyperlink" Target="http://es.wikipedia.org/wiki/Partido_Socialista_del_Reich" TargetMode="External"/><Relationship Id="rId10" Type="http://schemas.openxmlformats.org/officeDocument/2006/relationships/hyperlink" Target="http://es.wikipedia.org/wiki/Recurso_de_amparo" TargetMode="External"/><Relationship Id="rId19" Type="http://schemas.openxmlformats.org/officeDocument/2006/relationships/hyperlink" Target="http://es.wikipedia.org/wiki/Grundgesetz" TargetMode="External"/><Relationship Id="rId31" Type="http://schemas.openxmlformats.org/officeDocument/2006/relationships/hyperlink" Target="http://es.wikipedia.org/wiki/Partido_Nacionaldem%C3%B3crata_de_Alemania" TargetMode="External"/><Relationship Id="rId4" Type="http://schemas.openxmlformats.org/officeDocument/2006/relationships/webSettings" Target="webSettings.xml"/><Relationship Id="rId9" Type="http://schemas.openxmlformats.org/officeDocument/2006/relationships/hyperlink" Target="http://es.wikipedia.org/wiki/Recurso_de_amparo" TargetMode="External"/><Relationship Id="rId14" Type="http://schemas.openxmlformats.org/officeDocument/2006/relationships/hyperlink" Target="http://es.wikipedia.org/wiki/Constituci%C3%B3n_de_la_Naci%C3%B3n_Argentina" TargetMode="External"/><Relationship Id="rId22" Type="http://schemas.openxmlformats.org/officeDocument/2006/relationships/hyperlink" Target="http://es.wikipedia.org/wiki/Uni%C3%B3n_Europea" TargetMode="External"/><Relationship Id="rId27" Type="http://schemas.openxmlformats.org/officeDocument/2006/relationships/hyperlink" Target="http://es.wikipedia.org/wiki/Bundesrat" TargetMode="External"/><Relationship Id="rId30" Type="http://schemas.openxmlformats.org/officeDocument/2006/relationships/hyperlink" Target="http://es.wikipedia.org/wiki/Partido_Comunista_de_Alema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2061</Words>
  <Characters>11338</Characters>
  <Application>Microsoft Office Word</Application>
  <DocSecurity>0</DocSecurity>
  <Lines>94</Lines>
  <Paragraphs>26</Paragraphs>
  <ScaleCrop>false</ScaleCrop>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p:lastModifiedBy>
  <cp:revision>9</cp:revision>
  <dcterms:created xsi:type="dcterms:W3CDTF">2013-09-15T18:59:00Z</dcterms:created>
  <dcterms:modified xsi:type="dcterms:W3CDTF">2014-01-07T17:14:00Z</dcterms:modified>
</cp:coreProperties>
</file>