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8E" w:rsidRDefault="00500DF2">
      <w:r>
        <w:t xml:space="preserve">Dignidad  humana en la </w:t>
      </w:r>
      <w:proofErr w:type="spellStart"/>
      <w:r>
        <w:t>Grundgesetz</w:t>
      </w:r>
      <w:proofErr w:type="spellEnd"/>
      <w:r>
        <w:t xml:space="preserve">  alemana</w:t>
      </w:r>
    </w:p>
    <w:p w:rsidR="00DD3E48" w:rsidRDefault="00E55EA4">
      <w:r>
        <w:t xml:space="preserve">Buscar la </w:t>
      </w:r>
      <w:proofErr w:type="spellStart"/>
      <w:r>
        <w:t>Grundgesetz</w:t>
      </w:r>
      <w:proofErr w:type="spellEnd"/>
      <w:r>
        <w:t xml:space="preserve"> en Internet. Tener a mano diccionarios bilingües y aprender a utilizar el de definiciones DWDS </w:t>
      </w:r>
      <w:hyperlink r:id="rId4" w:history="1">
        <w:r w:rsidRPr="00CA49DC">
          <w:rPr>
            <w:rStyle w:val="Hipervnculo"/>
          </w:rPr>
          <w:t>http://www.dwds.de</w:t>
        </w:r>
      </w:hyperlink>
      <w:r>
        <w:t xml:space="preserve">  -</w:t>
      </w:r>
      <w:r w:rsidR="00F3402C">
        <w:t xml:space="preserve"> </w:t>
      </w:r>
      <w:r w:rsidR="00DD3E48">
        <w:t xml:space="preserve">Descargar archivos desde </w:t>
      </w:r>
      <w:hyperlink r:id="rId5" w:history="1">
        <w:r w:rsidR="00DD3E48" w:rsidRPr="00DB6441">
          <w:rPr>
            <w:rStyle w:val="Hipervnculo"/>
          </w:rPr>
          <w:t>http://arielrodo.weebly.com/alemaacuten-2015.html</w:t>
        </w:r>
      </w:hyperlink>
      <w:r w:rsidR="00DD3E48">
        <w:t xml:space="preserve"> </w:t>
      </w:r>
    </w:p>
    <w:p w:rsidR="00500DF2" w:rsidRPr="00DD3E48" w:rsidRDefault="00DD3E48">
      <w:pPr>
        <w:rPr>
          <w:color w:val="215868" w:themeColor="accent5" w:themeShade="80"/>
          <w:sz w:val="24"/>
          <w:szCs w:val="24"/>
        </w:rPr>
      </w:pPr>
      <w:r w:rsidRPr="00DD3E48">
        <w:rPr>
          <w:color w:val="0D0D0D" w:themeColor="text1" w:themeTint="F2"/>
          <w:sz w:val="24"/>
          <w:szCs w:val="24"/>
        </w:rPr>
        <w:t>Ley Fundamental para la República Federal Alemania</w:t>
      </w:r>
      <w:proofErr w:type="gramStart"/>
      <w:r w:rsidRPr="00F3402C">
        <w:rPr>
          <w:color w:val="0D0D0D" w:themeColor="text1" w:themeTint="F2"/>
          <w:sz w:val="28"/>
          <w:szCs w:val="28"/>
        </w:rPr>
        <w:t>:</w:t>
      </w:r>
      <w:r w:rsidRPr="00F3402C">
        <w:rPr>
          <w:color w:val="215868" w:themeColor="accent5" w:themeShade="80"/>
          <w:sz w:val="28"/>
          <w:szCs w:val="28"/>
        </w:rPr>
        <w:t xml:space="preserve">  </w:t>
      </w:r>
      <w:r w:rsidR="00500DF2" w:rsidRPr="00F3402C">
        <w:rPr>
          <w:color w:val="215868" w:themeColor="accent5" w:themeShade="80"/>
          <w:sz w:val="28"/>
          <w:szCs w:val="28"/>
        </w:rPr>
        <w:t>Art</w:t>
      </w:r>
      <w:proofErr w:type="gramEnd"/>
      <w:r w:rsidR="00500DF2" w:rsidRPr="00F3402C">
        <w:rPr>
          <w:color w:val="215868" w:themeColor="accent5" w:themeShade="80"/>
          <w:sz w:val="28"/>
          <w:szCs w:val="28"/>
        </w:rPr>
        <w:t xml:space="preserve"> 1 – (1) La dignidad humana es intangible. Respetarla y protegerla es obligación de todo poder público.</w:t>
      </w:r>
    </w:p>
    <w:p w:rsidR="00DD3E48" w:rsidRDefault="00500DF2">
      <w:pPr>
        <w:rPr>
          <w:sz w:val="28"/>
          <w:szCs w:val="28"/>
          <w:lang w:val="de-DE"/>
        </w:rPr>
      </w:pPr>
      <w:r>
        <w:t>Ejercicio: A partir de la traducción, llegar a entender el texto original.</w:t>
      </w:r>
      <w:r w:rsidR="00DD3E48">
        <w:t xml:space="preserve"> </w:t>
      </w:r>
      <w:r w:rsidR="00DD3E48">
        <w:rPr>
          <w:sz w:val="24"/>
          <w:szCs w:val="24"/>
        </w:rPr>
        <w:t>S</w:t>
      </w:r>
      <w:r>
        <w:rPr>
          <w:sz w:val="24"/>
          <w:szCs w:val="24"/>
        </w:rPr>
        <w:t xml:space="preserve">u eje es el verbo </w:t>
      </w:r>
      <w:proofErr w:type="spellStart"/>
      <w:r w:rsidRPr="00500DF2">
        <w:rPr>
          <w:i/>
          <w:sz w:val="28"/>
          <w:szCs w:val="28"/>
        </w:rPr>
        <w:t>sein</w:t>
      </w:r>
      <w:proofErr w:type="spellEnd"/>
      <w:r>
        <w:rPr>
          <w:i/>
          <w:sz w:val="28"/>
          <w:szCs w:val="28"/>
        </w:rPr>
        <w:t xml:space="preserve"> – </w:t>
      </w:r>
      <w:r>
        <w:t>vincula un</w:t>
      </w:r>
      <w:r w:rsidRPr="00500DF2">
        <w:rPr>
          <w:u w:val="single"/>
        </w:rPr>
        <w:t xml:space="preserve"> sujeto</w:t>
      </w:r>
      <w:r>
        <w:t xml:space="preserve"> y un </w:t>
      </w:r>
      <w:r w:rsidRPr="00500DF2">
        <w:rPr>
          <w:u w:val="single"/>
        </w:rPr>
        <w:t>predicativo</w:t>
      </w:r>
      <w:r>
        <w:t xml:space="preserve">  en 3ª </w:t>
      </w:r>
      <w:proofErr w:type="spellStart"/>
      <w:r>
        <w:t>pers</w:t>
      </w:r>
      <w:proofErr w:type="spellEnd"/>
      <w:r>
        <w:t xml:space="preserve">. </w:t>
      </w:r>
      <w:r w:rsidRPr="00FE0B9E">
        <w:rPr>
          <w:lang w:val="de-DE"/>
        </w:rPr>
        <w:t xml:space="preserve">Presente indicativo: </w:t>
      </w:r>
      <w:r w:rsidR="00FE0B9E">
        <w:rPr>
          <w:lang w:val="de-DE"/>
        </w:rPr>
        <w:t xml:space="preserve"> </w:t>
      </w:r>
      <w:r w:rsidR="00FE0B9E" w:rsidRPr="00FE0B9E">
        <w:rPr>
          <w:i/>
          <w:sz w:val="28"/>
          <w:szCs w:val="28"/>
          <w:lang w:val="de-DE"/>
        </w:rPr>
        <w:t>ist</w:t>
      </w:r>
      <w:r w:rsidR="00FE0B9E" w:rsidRPr="00FE0B9E">
        <w:rPr>
          <w:sz w:val="28"/>
          <w:szCs w:val="28"/>
          <w:lang w:val="de-DE"/>
        </w:rPr>
        <w:t xml:space="preserve"> [es]. ¬ </w:t>
      </w:r>
    </w:p>
    <w:p w:rsidR="00500DF2" w:rsidRPr="00DD3E48" w:rsidRDefault="00DD3E48">
      <w:pPr>
        <w:rPr>
          <w:lang w:val="de-DE"/>
        </w:rPr>
      </w:pPr>
      <w:r>
        <w:rPr>
          <w:sz w:val="28"/>
          <w:szCs w:val="28"/>
          <w:lang w:val="de-DE"/>
        </w:rPr>
        <w:t xml:space="preserve">                                 </w:t>
      </w:r>
      <w:r w:rsidR="00FE0B9E" w:rsidRPr="00DD3E48">
        <w:rPr>
          <w:i/>
          <w:color w:val="215868" w:themeColor="accent5" w:themeShade="80"/>
          <w:sz w:val="28"/>
          <w:szCs w:val="28"/>
          <w:lang w:val="de-DE"/>
        </w:rPr>
        <w:t xml:space="preserve">Die Würde des Menschen  </w:t>
      </w:r>
      <w:r w:rsidR="00FE0B9E" w:rsidRPr="00DD3E48">
        <w:rPr>
          <w:i/>
          <w:color w:val="215868" w:themeColor="accent5" w:themeShade="80"/>
          <w:sz w:val="28"/>
          <w:szCs w:val="28"/>
          <w:u w:val="single"/>
          <w:lang w:val="de-DE"/>
        </w:rPr>
        <w:t>ist</w:t>
      </w:r>
      <w:r w:rsidR="00FE0B9E" w:rsidRPr="00DD3E48">
        <w:rPr>
          <w:i/>
          <w:color w:val="215868" w:themeColor="accent5" w:themeShade="80"/>
          <w:sz w:val="28"/>
          <w:szCs w:val="28"/>
          <w:lang w:val="de-DE"/>
        </w:rPr>
        <w:t xml:space="preserve">  unantastbar</w:t>
      </w:r>
      <w:r w:rsidR="00FE0B9E" w:rsidRPr="00FE0B9E">
        <w:rPr>
          <w:i/>
          <w:sz w:val="28"/>
          <w:szCs w:val="28"/>
          <w:lang w:val="de-DE"/>
        </w:rPr>
        <w:t>.</w:t>
      </w:r>
    </w:p>
    <w:p w:rsidR="00FE0B9E" w:rsidRPr="00DD3E48" w:rsidRDefault="00FE0B9E">
      <w:pPr>
        <w:rPr>
          <w:sz w:val="20"/>
          <w:szCs w:val="20"/>
        </w:rPr>
      </w:pPr>
      <w:r>
        <w:rPr>
          <w:i/>
          <w:sz w:val="28"/>
          <w:szCs w:val="28"/>
          <w:lang w:val="de-DE"/>
        </w:rPr>
        <w:t xml:space="preserve">                           </w:t>
      </w:r>
      <w:r>
        <w:rPr>
          <w:sz w:val="28"/>
          <w:szCs w:val="28"/>
          <w:lang w:val="de-DE"/>
        </w:rPr>
        <w:t xml:space="preserve">      </w:t>
      </w:r>
      <w:r w:rsidRPr="00DD3E48">
        <w:rPr>
          <w:sz w:val="28"/>
          <w:szCs w:val="28"/>
        </w:rPr>
        <w:t>---------------</w:t>
      </w:r>
      <w:proofErr w:type="spellStart"/>
      <w:r w:rsidRPr="00DD3E48">
        <w:rPr>
          <w:sz w:val="28"/>
          <w:szCs w:val="28"/>
        </w:rPr>
        <w:t>Suj</w:t>
      </w:r>
      <w:proofErr w:type="spellEnd"/>
      <w:r w:rsidRPr="00DD3E48">
        <w:rPr>
          <w:sz w:val="28"/>
          <w:szCs w:val="28"/>
        </w:rPr>
        <w:t>--------------    V    --</w:t>
      </w:r>
      <w:r w:rsidRPr="00DD3E48">
        <w:rPr>
          <w:sz w:val="20"/>
          <w:szCs w:val="20"/>
        </w:rPr>
        <w:t>predicativo----</w:t>
      </w:r>
    </w:p>
    <w:p w:rsidR="00FE0B9E" w:rsidRDefault="00FE0B9E">
      <w:r w:rsidRPr="00FE0B9E">
        <w:rPr>
          <w:sz w:val="24"/>
          <w:szCs w:val="24"/>
        </w:rPr>
        <w:t xml:space="preserve">Núcleo del </w:t>
      </w:r>
      <w:proofErr w:type="spellStart"/>
      <w:r w:rsidRPr="00FE0B9E">
        <w:rPr>
          <w:sz w:val="24"/>
          <w:szCs w:val="24"/>
        </w:rPr>
        <w:t>Suj</w:t>
      </w:r>
      <w:proofErr w:type="spellEnd"/>
      <w:r w:rsidRPr="00FE0B9E">
        <w:rPr>
          <w:sz w:val="24"/>
          <w:szCs w:val="24"/>
        </w:rPr>
        <w:t xml:space="preserve">: </w:t>
      </w:r>
      <w:proofErr w:type="spellStart"/>
      <w:r w:rsidRPr="00FE0B9E">
        <w:rPr>
          <w:i/>
          <w:sz w:val="28"/>
          <w:szCs w:val="28"/>
        </w:rPr>
        <w:t>Würde</w:t>
      </w:r>
      <w:proofErr w:type="spellEnd"/>
      <w:r w:rsidRPr="00FE0B9E">
        <w:rPr>
          <w:i/>
          <w:sz w:val="28"/>
          <w:szCs w:val="28"/>
        </w:rPr>
        <w:t xml:space="preserve"> </w:t>
      </w:r>
      <w:r w:rsidRPr="00FE0B9E">
        <w:t>[buscar el significado de este vocablo</w:t>
      </w:r>
      <w:r w:rsidR="00BD7621">
        <w:t xml:space="preserve">, como </w:t>
      </w:r>
      <w:r w:rsidR="00BD7621">
        <w:rPr>
          <w:u w:val="single"/>
        </w:rPr>
        <w:t>sustantivo</w:t>
      </w:r>
      <w:r w:rsidR="00BD7621">
        <w:t xml:space="preserve">  ¬ no como verbo].</w:t>
      </w:r>
    </w:p>
    <w:p w:rsidR="00BD7621" w:rsidRDefault="00BD7621">
      <w:proofErr w:type="spellStart"/>
      <w:r>
        <w:rPr>
          <w:i/>
          <w:sz w:val="28"/>
          <w:szCs w:val="28"/>
        </w:rPr>
        <w:t>Würde</w:t>
      </w:r>
      <w:proofErr w:type="spellEnd"/>
      <w:r>
        <w:rPr>
          <w:sz w:val="28"/>
          <w:szCs w:val="28"/>
        </w:rPr>
        <w:t xml:space="preserve">  </w:t>
      </w:r>
      <w:r w:rsidRPr="00BD7621">
        <w:t>está precedido de un modificador directo</w:t>
      </w:r>
      <w:r>
        <w:t xml:space="preserve"> [artículo </w:t>
      </w:r>
      <w:r>
        <w:rPr>
          <w:i/>
          <w:sz w:val="28"/>
          <w:szCs w:val="28"/>
        </w:rPr>
        <w:t>die</w:t>
      </w:r>
      <w:r>
        <w:rPr>
          <w:sz w:val="28"/>
          <w:szCs w:val="28"/>
        </w:rPr>
        <w:t xml:space="preserve">] </w:t>
      </w:r>
      <w:r>
        <w:t xml:space="preserve">que marca su género y número: género femenino, número singular. </w:t>
      </w:r>
      <w:r w:rsidR="002C4F44">
        <w:t xml:space="preserve">– </w:t>
      </w:r>
      <w:r w:rsidR="002C4F44" w:rsidRPr="002C4F44">
        <w:rPr>
          <w:u w:val="single"/>
        </w:rPr>
        <w:t>No tiene plural</w:t>
      </w:r>
      <w:r w:rsidR="002C4F44">
        <w:t xml:space="preserve"> cuando significa una esencia o virtud personal. Admite el plural </w:t>
      </w:r>
      <w:proofErr w:type="spellStart"/>
      <w:r w:rsidR="002C4F44">
        <w:rPr>
          <w:u w:val="single"/>
        </w:rPr>
        <w:t>Würden</w:t>
      </w:r>
      <w:proofErr w:type="spellEnd"/>
      <w:r w:rsidR="002C4F44">
        <w:t xml:space="preserve">  cuando significa títulos y honores [dignidades].</w:t>
      </w:r>
    </w:p>
    <w:p w:rsidR="002C4F44" w:rsidRDefault="002C4F44">
      <w:pPr>
        <w:rPr>
          <w:b/>
        </w:rPr>
      </w:pPr>
      <w:r>
        <w:t xml:space="preserve">¿Qué otro modificador le sigue? ¬ el adjetivo </w:t>
      </w:r>
      <w:r>
        <w:rPr>
          <w:b/>
        </w:rPr>
        <w:t>humana.</w:t>
      </w:r>
      <w:r w:rsidR="005F4359">
        <w:rPr>
          <w:b/>
        </w:rPr>
        <w:t xml:space="preserve"> [</w:t>
      </w:r>
      <w:proofErr w:type="gramStart"/>
      <w:r w:rsidR="005F4359">
        <w:rPr>
          <w:b/>
        </w:rPr>
        <w:t>des</w:t>
      </w:r>
      <w:proofErr w:type="gramEnd"/>
      <w:r w:rsidR="005F4359">
        <w:rPr>
          <w:b/>
        </w:rPr>
        <w:t xml:space="preserve"> </w:t>
      </w:r>
      <w:proofErr w:type="spellStart"/>
      <w:r w:rsidR="005F4359">
        <w:rPr>
          <w:b/>
        </w:rPr>
        <w:t>Menschen</w:t>
      </w:r>
      <w:proofErr w:type="spellEnd"/>
      <w:r w:rsidR="005F4359">
        <w:rPr>
          <w:b/>
        </w:rPr>
        <w:t>].</w:t>
      </w:r>
    </w:p>
    <w:p w:rsidR="002C4F44" w:rsidRDefault="002C4F44">
      <w:pPr>
        <w:rPr>
          <w:b/>
          <w:sz w:val="24"/>
          <w:szCs w:val="24"/>
        </w:rPr>
      </w:pPr>
      <w:r>
        <w:rPr>
          <w:b/>
        </w:rPr>
        <w:t>Notar</w:t>
      </w:r>
      <w:r>
        <w:t xml:space="preserve"> que así ocurre en la traducción arriba propuesta, que no es necesariamente la correcta. </w:t>
      </w:r>
      <w:r w:rsidR="009B6E2F">
        <w:t xml:space="preserve">En el original se dice </w:t>
      </w:r>
      <w:r w:rsidR="009B6E2F">
        <w:rPr>
          <w:i/>
          <w:sz w:val="28"/>
          <w:szCs w:val="28"/>
        </w:rPr>
        <w:t xml:space="preserve">des </w:t>
      </w:r>
      <w:proofErr w:type="spellStart"/>
      <w:r w:rsidR="009B6E2F">
        <w:rPr>
          <w:i/>
          <w:sz w:val="28"/>
          <w:szCs w:val="28"/>
        </w:rPr>
        <w:t>Menschen</w:t>
      </w:r>
      <w:proofErr w:type="spellEnd"/>
      <w:r w:rsidR="009B6E2F">
        <w:rPr>
          <w:i/>
          <w:sz w:val="28"/>
          <w:szCs w:val="28"/>
        </w:rPr>
        <w:t xml:space="preserve"> =</w:t>
      </w:r>
      <w:r w:rsidR="009B6E2F">
        <w:rPr>
          <w:sz w:val="28"/>
          <w:szCs w:val="28"/>
        </w:rPr>
        <w:t xml:space="preserve"> </w:t>
      </w:r>
      <w:r w:rsidR="009B6E2F">
        <w:rPr>
          <w:sz w:val="24"/>
          <w:szCs w:val="24"/>
        </w:rPr>
        <w:t xml:space="preserve">del (ser) humano. </w:t>
      </w:r>
      <w:r w:rsidR="005F4359">
        <w:rPr>
          <w:sz w:val="24"/>
          <w:szCs w:val="24"/>
        </w:rPr>
        <w:t>E</w:t>
      </w:r>
      <w:r w:rsidR="009B6E2F" w:rsidRPr="009B6E2F">
        <w:rPr>
          <w:sz w:val="24"/>
          <w:szCs w:val="24"/>
          <w:u w:val="single"/>
        </w:rPr>
        <w:t>n castellano</w:t>
      </w:r>
      <w:r w:rsidR="009B6E2F">
        <w:rPr>
          <w:sz w:val="24"/>
          <w:szCs w:val="24"/>
        </w:rPr>
        <w:t xml:space="preserve"> el modificador es </w:t>
      </w:r>
      <w:r w:rsidR="009B6E2F">
        <w:rPr>
          <w:sz w:val="24"/>
          <w:szCs w:val="24"/>
          <w:u w:val="single"/>
        </w:rPr>
        <w:t>indirecto</w:t>
      </w:r>
      <w:r w:rsidR="009B6E2F">
        <w:rPr>
          <w:sz w:val="24"/>
          <w:szCs w:val="24"/>
        </w:rPr>
        <w:t xml:space="preserve">, compuesto de la </w:t>
      </w:r>
      <w:proofErr w:type="spellStart"/>
      <w:r w:rsidR="009B6E2F">
        <w:rPr>
          <w:sz w:val="24"/>
          <w:szCs w:val="24"/>
        </w:rPr>
        <w:t>prep</w:t>
      </w:r>
      <w:proofErr w:type="spellEnd"/>
      <w:r w:rsidR="009B6E2F">
        <w:rPr>
          <w:sz w:val="24"/>
          <w:szCs w:val="24"/>
        </w:rPr>
        <w:t xml:space="preserve">. </w:t>
      </w:r>
      <w:proofErr w:type="gramStart"/>
      <w:r w:rsidR="009B6E2F">
        <w:rPr>
          <w:b/>
          <w:sz w:val="24"/>
          <w:szCs w:val="24"/>
        </w:rPr>
        <w:t>de</w:t>
      </w:r>
      <w:proofErr w:type="gramEnd"/>
      <w:r w:rsidR="009B6E2F">
        <w:rPr>
          <w:b/>
          <w:sz w:val="24"/>
          <w:szCs w:val="24"/>
        </w:rPr>
        <w:t xml:space="preserve"> + </w:t>
      </w:r>
      <w:r w:rsidR="009B6E2F">
        <w:rPr>
          <w:sz w:val="24"/>
          <w:szCs w:val="24"/>
        </w:rPr>
        <w:t xml:space="preserve">el art. </w:t>
      </w:r>
      <w:r w:rsidR="009B6E2F">
        <w:rPr>
          <w:b/>
          <w:sz w:val="24"/>
          <w:szCs w:val="24"/>
        </w:rPr>
        <w:t>el = del.</w:t>
      </w:r>
      <w:r w:rsidR="009B6E2F">
        <w:rPr>
          <w:sz w:val="24"/>
          <w:szCs w:val="24"/>
        </w:rPr>
        <w:t xml:space="preserve">- </w:t>
      </w:r>
      <w:r w:rsidR="009B6E2F" w:rsidRPr="009B6E2F">
        <w:rPr>
          <w:sz w:val="24"/>
          <w:szCs w:val="24"/>
          <w:u w:val="single"/>
        </w:rPr>
        <w:t>En alemán</w:t>
      </w:r>
      <w:r w:rsidR="009B6E2F">
        <w:rPr>
          <w:sz w:val="24"/>
          <w:szCs w:val="24"/>
        </w:rPr>
        <w:t xml:space="preserve">, esa modificación se construye </w:t>
      </w:r>
      <w:r w:rsidR="005F4359">
        <w:rPr>
          <w:sz w:val="24"/>
          <w:szCs w:val="24"/>
        </w:rPr>
        <w:t xml:space="preserve">con el artículo y el modificador puestos en </w:t>
      </w:r>
      <w:r w:rsidR="005F4359">
        <w:rPr>
          <w:b/>
          <w:sz w:val="24"/>
          <w:szCs w:val="24"/>
        </w:rPr>
        <w:t xml:space="preserve">caso genitivo. </w:t>
      </w:r>
      <w:r w:rsidR="005F4359">
        <w:rPr>
          <w:sz w:val="24"/>
          <w:szCs w:val="24"/>
        </w:rPr>
        <w:t xml:space="preserve">[En lugar del nominativo </w:t>
      </w:r>
      <w:proofErr w:type="spellStart"/>
      <w:r w:rsidR="005F4359">
        <w:rPr>
          <w:b/>
          <w:sz w:val="24"/>
          <w:szCs w:val="24"/>
        </w:rPr>
        <w:t>der</w:t>
      </w:r>
      <w:proofErr w:type="spellEnd"/>
      <w:r w:rsidR="005F4359">
        <w:rPr>
          <w:b/>
          <w:sz w:val="24"/>
          <w:szCs w:val="24"/>
        </w:rPr>
        <w:t xml:space="preserve"> </w:t>
      </w:r>
      <w:proofErr w:type="spellStart"/>
      <w:r w:rsidR="005F4359">
        <w:rPr>
          <w:b/>
          <w:sz w:val="24"/>
          <w:szCs w:val="24"/>
        </w:rPr>
        <w:t>Mensch</w:t>
      </w:r>
      <w:proofErr w:type="spellEnd"/>
      <w:r w:rsidR="005F4359">
        <w:rPr>
          <w:sz w:val="24"/>
          <w:szCs w:val="24"/>
        </w:rPr>
        <w:t xml:space="preserve"> se usa el genitivo </w:t>
      </w:r>
      <w:r w:rsidR="005F4359">
        <w:rPr>
          <w:b/>
          <w:sz w:val="24"/>
          <w:szCs w:val="24"/>
        </w:rPr>
        <w:t xml:space="preserve">des </w:t>
      </w:r>
      <w:proofErr w:type="spellStart"/>
      <w:r w:rsidR="005F4359">
        <w:rPr>
          <w:b/>
          <w:sz w:val="24"/>
          <w:szCs w:val="24"/>
        </w:rPr>
        <w:t>Menschen</w:t>
      </w:r>
      <w:proofErr w:type="spellEnd"/>
      <w:r w:rsidR="005F4359">
        <w:rPr>
          <w:b/>
          <w:sz w:val="24"/>
          <w:szCs w:val="24"/>
        </w:rPr>
        <w:t>].</w:t>
      </w:r>
      <w:r w:rsidR="005F4359">
        <w:rPr>
          <w:sz w:val="24"/>
          <w:szCs w:val="24"/>
        </w:rPr>
        <w:t xml:space="preserve">  Ya estamos aprendiendo una de las utilizaciones del caso genitivo, el “genitivo de pertenencia”; la mencionada </w:t>
      </w:r>
      <w:proofErr w:type="spellStart"/>
      <w:r w:rsidR="005F4359">
        <w:rPr>
          <w:i/>
          <w:sz w:val="28"/>
          <w:szCs w:val="28"/>
        </w:rPr>
        <w:t>Würde</w:t>
      </w:r>
      <w:proofErr w:type="spellEnd"/>
      <w:r w:rsidR="005F4359">
        <w:rPr>
          <w:sz w:val="28"/>
          <w:szCs w:val="28"/>
        </w:rPr>
        <w:t xml:space="preserve"> </w:t>
      </w:r>
      <w:r w:rsidR="005F4359">
        <w:rPr>
          <w:sz w:val="24"/>
          <w:szCs w:val="24"/>
        </w:rPr>
        <w:t xml:space="preserve"> </w:t>
      </w:r>
      <w:r w:rsidR="005F4359" w:rsidRPr="00F02017">
        <w:rPr>
          <w:sz w:val="24"/>
          <w:szCs w:val="24"/>
          <w:u w:val="single"/>
        </w:rPr>
        <w:t>es propia</w:t>
      </w:r>
      <w:r w:rsidR="005F4359">
        <w:rPr>
          <w:sz w:val="24"/>
          <w:szCs w:val="24"/>
        </w:rPr>
        <w:t xml:space="preserve"> del </w:t>
      </w:r>
      <w:r w:rsidR="005F4359">
        <w:rPr>
          <w:b/>
          <w:sz w:val="24"/>
          <w:szCs w:val="24"/>
        </w:rPr>
        <w:t xml:space="preserve">ser humano = des </w:t>
      </w:r>
      <w:proofErr w:type="spellStart"/>
      <w:r w:rsidR="005F4359">
        <w:rPr>
          <w:b/>
          <w:sz w:val="24"/>
          <w:szCs w:val="24"/>
        </w:rPr>
        <w:t>Menschen</w:t>
      </w:r>
      <w:proofErr w:type="spellEnd"/>
      <w:r w:rsidR="005F4359">
        <w:rPr>
          <w:b/>
          <w:sz w:val="24"/>
          <w:szCs w:val="24"/>
        </w:rPr>
        <w:t>.</w:t>
      </w:r>
    </w:p>
    <w:p w:rsidR="00A30EDF" w:rsidRDefault="00F02017">
      <w:pPr>
        <w:rPr>
          <w:sz w:val="24"/>
          <w:szCs w:val="24"/>
        </w:rPr>
      </w:pPr>
      <w:r>
        <w:rPr>
          <w:sz w:val="24"/>
          <w:szCs w:val="24"/>
        </w:rPr>
        <w:t xml:space="preserve">Al sujeto se le adjudica un atributo o cualidad mediante el verbo </w:t>
      </w:r>
      <w:r>
        <w:rPr>
          <w:b/>
          <w:sz w:val="24"/>
          <w:szCs w:val="24"/>
        </w:rPr>
        <w:t>ser [</w:t>
      </w:r>
      <w:proofErr w:type="spellStart"/>
      <w:r>
        <w:rPr>
          <w:b/>
          <w:sz w:val="24"/>
          <w:szCs w:val="24"/>
        </w:rPr>
        <w:t>sein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aquí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]. </w:t>
      </w:r>
      <w:r w:rsidRPr="00F02017">
        <w:rPr>
          <w:sz w:val="24"/>
          <w:szCs w:val="24"/>
        </w:rPr>
        <w:t>Ese</w:t>
      </w:r>
      <w:r>
        <w:rPr>
          <w:sz w:val="24"/>
          <w:szCs w:val="24"/>
        </w:rPr>
        <w:t xml:space="preserve"> atributo es la </w:t>
      </w:r>
      <w:r>
        <w:rPr>
          <w:b/>
          <w:sz w:val="24"/>
          <w:szCs w:val="24"/>
        </w:rPr>
        <w:t>intangibilidad</w:t>
      </w:r>
      <w:r>
        <w:rPr>
          <w:sz w:val="24"/>
          <w:szCs w:val="24"/>
        </w:rPr>
        <w:t xml:space="preserve">. “La dignidad humana es </w:t>
      </w:r>
      <w:r>
        <w:rPr>
          <w:b/>
          <w:sz w:val="24"/>
          <w:szCs w:val="24"/>
          <w:u w:val="single"/>
        </w:rPr>
        <w:t>intangible</w:t>
      </w:r>
      <w:r>
        <w:rPr>
          <w:sz w:val="24"/>
          <w:szCs w:val="24"/>
        </w:rPr>
        <w:t xml:space="preserve">” = </w:t>
      </w:r>
      <w:proofErr w:type="spellStart"/>
      <w:r>
        <w:rPr>
          <w:b/>
          <w:i/>
          <w:sz w:val="28"/>
          <w:szCs w:val="28"/>
        </w:rPr>
        <w:t>ist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unantastbar</w:t>
      </w:r>
      <w:proofErr w:type="spellEnd"/>
      <w:r>
        <w:rPr>
          <w:b/>
          <w:i/>
          <w:sz w:val="28"/>
          <w:szCs w:val="28"/>
        </w:rPr>
        <w:t xml:space="preserve"> =</w:t>
      </w:r>
      <w:r>
        <w:rPr>
          <w:sz w:val="28"/>
          <w:szCs w:val="28"/>
        </w:rPr>
        <w:t xml:space="preserve"> es intocable, inviolable, inatacable.</w:t>
      </w:r>
      <w:r w:rsidR="00456D1A">
        <w:rPr>
          <w:sz w:val="24"/>
          <w:szCs w:val="24"/>
        </w:rPr>
        <w:t xml:space="preserve"> (Que de hecho lo sea o no, depende de contingencias concretas. </w:t>
      </w:r>
      <w:r w:rsidR="00456D1A">
        <w:rPr>
          <w:sz w:val="24"/>
          <w:szCs w:val="24"/>
          <w:u w:val="single"/>
        </w:rPr>
        <w:t>De derecho</w:t>
      </w:r>
      <w:r w:rsidR="00456D1A">
        <w:rPr>
          <w:sz w:val="24"/>
          <w:szCs w:val="24"/>
        </w:rPr>
        <w:t xml:space="preserve"> – según la </w:t>
      </w:r>
      <w:proofErr w:type="spellStart"/>
      <w:r w:rsidR="00456D1A">
        <w:rPr>
          <w:i/>
          <w:sz w:val="24"/>
          <w:szCs w:val="24"/>
        </w:rPr>
        <w:t>Grundgesetz</w:t>
      </w:r>
      <w:proofErr w:type="spellEnd"/>
      <w:r w:rsidR="00456D1A">
        <w:rPr>
          <w:sz w:val="24"/>
          <w:szCs w:val="24"/>
        </w:rPr>
        <w:t xml:space="preserve"> – </w:t>
      </w:r>
      <w:r w:rsidR="00456D1A" w:rsidRPr="00456D1A">
        <w:rPr>
          <w:sz w:val="24"/>
          <w:szCs w:val="24"/>
          <w:u w:val="single"/>
        </w:rPr>
        <w:t>no debe</w:t>
      </w:r>
      <w:r w:rsidR="00456D1A">
        <w:rPr>
          <w:sz w:val="24"/>
          <w:szCs w:val="24"/>
          <w:u w:val="single"/>
        </w:rPr>
        <w:t xml:space="preserve"> </w:t>
      </w:r>
      <w:r w:rsidR="00456D1A">
        <w:rPr>
          <w:sz w:val="24"/>
          <w:szCs w:val="24"/>
        </w:rPr>
        <w:t xml:space="preserve"> ser atacada. Y si lo fuere, si pudiese llegar a serlo,  es obligación de los poderes públicos prevenirlo e impedirlo</w:t>
      </w:r>
      <w:r w:rsidR="005D53F3">
        <w:rPr>
          <w:sz w:val="24"/>
          <w:szCs w:val="24"/>
        </w:rPr>
        <w:t xml:space="preserve">. </w:t>
      </w:r>
    </w:p>
    <w:p w:rsidR="00F02017" w:rsidRPr="00A30EDF" w:rsidRDefault="005D53F3">
      <w:pPr>
        <w:rPr>
          <w:b/>
          <w:color w:val="215868" w:themeColor="accent5" w:themeShade="80"/>
          <w:sz w:val="28"/>
          <w:szCs w:val="28"/>
          <w:lang w:val="de-DE"/>
        </w:rPr>
      </w:pPr>
      <w:r w:rsidRPr="00A30EDF">
        <w:rPr>
          <w:b/>
          <w:color w:val="215868" w:themeColor="accent5" w:themeShade="80"/>
          <w:sz w:val="28"/>
          <w:szCs w:val="28"/>
          <w:lang w:val="de-DE"/>
        </w:rPr>
        <w:t>“Sie zu achten und zu schützen ist Verpflichtung aller staatlichen Gewalt”.</w:t>
      </w:r>
    </w:p>
    <w:p w:rsidR="005D53F3" w:rsidRPr="00D32CDA" w:rsidRDefault="005D53F3">
      <w:pPr>
        <w:rPr>
          <w:i/>
        </w:rPr>
      </w:pPr>
      <w:r w:rsidRPr="005D53F3">
        <w:rPr>
          <w:sz w:val="28"/>
          <w:szCs w:val="28"/>
        </w:rPr>
        <w:t>Ahora</w:t>
      </w:r>
      <w:r w:rsidRPr="005D53F3">
        <w:t>, analicemos gramaticalmente y estructuralmente esa</w:t>
      </w:r>
      <w:r>
        <w:t xml:space="preserve"> segunda parte del </w:t>
      </w:r>
      <w:r w:rsidRPr="005D53F3">
        <w:rPr>
          <w:u w:val="single"/>
        </w:rPr>
        <w:t>inciso 1 del Art 1</w:t>
      </w:r>
      <w:r>
        <w:t xml:space="preserve"> de la </w:t>
      </w:r>
      <w:proofErr w:type="spellStart"/>
      <w:r>
        <w:t>Grundgesetz</w:t>
      </w:r>
      <w:proofErr w:type="spellEnd"/>
      <w:r>
        <w:t xml:space="preserve"> alemana. ¡Mentes a la obra! – Buscamos el significado de los principales vocablos; encontramos los verbos conjugados; nos preguntamos a qué se refiere </w:t>
      </w:r>
      <w:r>
        <w:rPr>
          <w:b/>
        </w:rPr>
        <w:t>“</w:t>
      </w:r>
      <w:proofErr w:type="spellStart"/>
      <w:r>
        <w:rPr>
          <w:b/>
        </w:rPr>
        <w:t>sie</w:t>
      </w:r>
      <w:proofErr w:type="spellEnd"/>
      <w:r>
        <w:rPr>
          <w:b/>
        </w:rPr>
        <w:t>”</w:t>
      </w:r>
      <w:r w:rsidR="00D32CDA">
        <w:t xml:space="preserve">;  observamos la partícula </w:t>
      </w:r>
      <w:r w:rsidR="00D32CDA">
        <w:rPr>
          <w:b/>
        </w:rPr>
        <w:t>“</w:t>
      </w:r>
      <w:proofErr w:type="spellStart"/>
      <w:r w:rsidR="00D32CDA">
        <w:rPr>
          <w:b/>
        </w:rPr>
        <w:t>zu</w:t>
      </w:r>
      <w:proofErr w:type="spellEnd"/>
      <w:r w:rsidR="00D32CDA">
        <w:rPr>
          <w:b/>
        </w:rPr>
        <w:t>”</w:t>
      </w:r>
      <w:r w:rsidR="00D32CDA">
        <w:t xml:space="preserve"> precediendo a los infinitivos; recordamos la similitud con el inglés “TO” en “</w:t>
      </w:r>
      <w:proofErr w:type="spellStart"/>
      <w:r w:rsidR="00D32CDA">
        <w:t>to</w:t>
      </w:r>
      <w:proofErr w:type="spellEnd"/>
      <w:r w:rsidR="00D32CDA">
        <w:t xml:space="preserve"> </w:t>
      </w:r>
      <w:proofErr w:type="spellStart"/>
      <w:r w:rsidR="00D32CDA">
        <w:t>be</w:t>
      </w:r>
      <w:proofErr w:type="spellEnd"/>
      <w:r w:rsidR="00D32CDA">
        <w:t xml:space="preserve"> – </w:t>
      </w:r>
      <w:proofErr w:type="spellStart"/>
      <w:r w:rsidR="00D32CDA">
        <w:t>to</w:t>
      </w:r>
      <w:proofErr w:type="spellEnd"/>
      <w:r w:rsidR="00D32CDA">
        <w:t xml:space="preserve"> </w:t>
      </w:r>
      <w:proofErr w:type="spellStart"/>
      <w:r w:rsidR="00D32CDA">
        <w:t>respect</w:t>
      </w:r>
      <w:proofErr w:type="spellEnd"/>
      <w:r w:rsidR="00D32CDA">
        <w:t xml:space="preserve"> – </w:t>
      </w:r>
      <w:proofErr w:type="spellStart"/>
      <w:r w:rsidR="00D32CDA">
        <w:t>to</w:t>
      </w:r>
      <w:proofErr w:type="spellEnd"/>
      <w:r w:rsidR="00D32CDA">
        <w:t xml:space="preserve"> </w:t>
      </w:r>
      <w:proofErr w:type="spellStart"/>
      <w:r w:rsidR="00D32CDA">
        <w:t>defend</w:t>
      </w:r>
      <w:proofErr w:type="spellEnd"/>
      <w:r w:rsidR="00D32CDA">
        <w:t xml:space="preserve">”; indagamos en qué </w:t>
      </w:r>
      <w:r w:rsidR="00D32CDA" w:rsidRPr="00BC1C9F">
        <w:rPr>
          <w:b/>
        </w:rPr>
        <w:t>caso</w:t>
      </w:r>
      <w:r w:rsidR="00D32CDA">
        <w:t xml:space="preserve"> (</w:t>
      </w:r>
      <w:proofErr w:type="spellStart"/>
      <w:r w:rsidR="00D32CDA">
        <w:t>Beugung</w:t>
      </w:r>
      <w:proofErr w:type="spellEnd"/>
      <w:r w:rsidR="00D32CDA">
        <w:t>=declinación) está “</w:t>
      </w:r>
      <w:proofErr w:type="spellStart"/>
      <w:r w:rsidR="00D32CDA">
        <w:rPr>
          <w:i/>
        </w:rPr>
        <w:t>aller</w:t>
      </w:r>
      <w:proofErr w:type="spellEnd"/>
      <w:r w:rsidR="00D32CDA">
        <w:rPr>
          <w:i/>
        </w:rPr>
        <w:t xml:space="preserve"> </w:t>
      </w:r>
      <w:proofErr w:type="spellStart"/>
      <w:r w:rsidR="00D32CDA">
        <w:rPr>
          <w:i/>
        </w:rPr>
        <w:t>staatlichen</w:t>
      </w:r>
      <w:proofErr w:type="spellEnd"/>
      <w:r w:rsidR="00D32CDA">
        <w:rPr>
          <w:i/>
        </w:rPr>
        <w:t xml:space="preserve"> </w:t>
      </w:r>
      <w:proofErr w:type="spellStart"/>
      <w:r w:rsidR="00D32CDA">
        <w:rPr>
          <w:i/>
        </w:rPr>
        <w:t>Gewalt</w:t>
      </w:r>
      <w:proofErr w:type="spellEnd"/>
      <w:r w:rsidR="00D32CDA">
        <w:rPr>
          <w:i/>
        </w:rPr>
        <w:t xml:space="preserve">”; </w:t>
      </w:r>
      <w:r w:rsidR="00D32CDA" w:rsidRPr="00D32CDA">
        <w:t>explicamos</w:t>
      </w:r>
      <w:r w:rsidR="00D32CDA">
        <w:t xml:space="preserve"> la presencia de vocablos con letra mayúscula a su inicio.</w:t>
      </w:r>
      <w:r w:rsidR="00E55EA4">
        <w:t xml:space="preserve"> Y todas las otras cuestiones que se nos ocurran.</w:t>
      </w:r>
    </w:p>
    <w:sectPr w:rsidR="005D53F3" w:rsidRPr="00D32CDA" w:rsidSect="00500DF2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DF2"/>
    <w:rsid w:val="002C4F44"/>
    <w:rsid w:val="00420E40"/>
    <w:rsid w:val="00456D1A"/>
    <w:rsid w:val="00500DF2"/>
    <w:rsid w:val="005D53F3"/>
    <w:rsid w:val="005F4359"/>
    <w:rsid w:val="00726338"/>
    <w:rsid w:val="00795378"/>
    <w:rsid w:val="009B6E2F"/>
    <w:rsid w:val="00A30EDF"/>
    <w:rsid w:val="00BC1C9F"/>
    <w:rsid w:val="00BD7621"/>
    <w:rsid w:val="00D32CDA"/>
    <w:rsid w:val="00D61370"/>
    <w:rsid w:val="00D94E8E"/>
    <w:rsid w:val="00DD3E48"/>
    <w:rsid w:val="00E55EA4"/>
    <w:rsid w:val="00F02017"/>
    <w:rsid w:val="00F3402C"/>
    <w:rsid w:val="00FE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ielrodo.weebly.com/alemaacuten-2015.html" TargetMode="External"/><Relationship Id="rId4" Type="http://schemas.openxmlformats.org/officeDocument/2006/relationships/hyperlink" Target="http://www.dwds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Haller</cp:lastModifiedBy>
  <cp:revision>8</cp:revision>
  <dcterms:created xsi:type="dcterms:W3CDTF">2015-03-05T23:10:00Z</dcterms:created>
  <dcterms:modified xsi:type="dcterms:W3CDTF">2016-03-25T23:16:00Z</dcterms:modified>
</cp:coreProperties>
</file>