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BE" w:rsidRPr="00121FBE" w:rsidRDefault="00121FBE" w:rsidP="005958F3">
      <w:pPr>
        <w:spacing w:after="100" w:afterAutospacing="1" w:line="345" w:lineRule="atLeast"/>
        <w:ind w:left="-284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</w:pP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Bundesverfassung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lang w:val="en-US" w:eastAsia="es-AR"/>
        </w:rPr>
        <w:t> 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der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Schweizerischen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Eidgenossenschaft</w:t>
      </w:r>
      <w:proofErr w:type="spellEnd"/>
    </w:p>
    <w:p w:rsidR="00121FBE" w:rsidRPr="00121FBE" w:rsidRDefault="00121FBE" w:rsidP="00121FBE">
      <w:pPr>
        <w:spacing w:before="100" w:beforeAutospacing="1" w:after="100" w:afterAutospacing="1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proofErr w:type="spellStart"/>
      <w:proofErr w:type="gramStart"/>
      <w:r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>vom</w:t>
      </w:r>
      <w:proofErr w:type="spellEnd"/>
      <w:proofErr w:type="gramEnd"/>
      <w:r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 18. April 1999 (Stand am 23. September 2012)</w:t>
      </w:r>
    </w:p>
    <w:bookmarkStart w:id="0" w:name="id-ni1"/>
    <w:p w:rsidR="00121FBE" w:rsidRPr="00121FBE" w:rsidRDefault="00D47A24" w:rsidP="00121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121FBE">
        <w:rPr>
          <w:rFonts w:ascii="Times New Roman" w:eastAsia="Times New Roman" w:hAnsi="Times New Roman" w:cs="Times New Roman"/>
          <w:sz w:val="24"/>
          <w:szCs w:val="24"/>
          <w:lang w:eastAsia="es-AR"/>
        </w:rPr>
        <w:fldChar w:fldCharType="begin"/>
      </w:r>
      <w:r w:rsidR="00121FBE" w:rsidRPr="00121FBE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instrText xml:space="preserve"> HYPERLINK "http://www.admin.ch/ch/d/sr/101/ani1.html" </w:instrText>
      </w:r>
      <w:r w:rsidRPr="00121FBE">
        <w:rPr>
          <w:rFonts w:ascii="Times New Roman" w:eastAsia="Times New Roman" w:hAnsi="Times New Roman" w:cs="Times New Roman"/>
          <w:sz w:val="24"/>
          <w:szCs w:val="24"/>
          <w:lang w:eastAsia="es-AR"/>
        </w:rPr>
        <w:fldChar w:fldCharType="separate"/>
      </w:r>
      <w:proofErr w:type="spellStart"/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Präambel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Times New Roman" w:eastAsia="Times New Roman" w:hAnsi="Times New Roman" w:cs="Times New Roman"/>
          <w:sz w:val="24"/>
          <w:szCs w:val="24"/>
          <w:lang w:eastAsia="es-AR"/>
        </w:rPr>
        <w:fldChar w:fldCharType="end"/>
      </w:r>
      <w:bookmarkEnd w:id="0"/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br/>
      </w:r>
    </w:p>
    <w:p w:rsidR="00121FBE" w:rsidRPr="00121FBE" w:rsidRDefault="00121FBE" w:rsidP="00121FBE">
      <w:pPr>
        <w:spacing w:after="100" w:afterAutospacing="1" w:line="3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</w:pPr>
      <w:bookmarkStart w:id="1" w:name="id-1"/>
      <w:bookmarkEnd w:id="1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1.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Titel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: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Allgemeine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Bestimmungen</w:t>
      </w:r>
      <w:proofErr w:type="spellEnd"/>
    </w:p>
    <w:bookmarkStart w:id="2" w:name="id-1-1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"http://www.admin.ch/ch/d/sr/101/a1.html"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1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Schweizerische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Eidgenossenschaft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"/>
    </w:p>
    <w:bookmarkStart w:id="3" w:name="id-1-2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2</w:t>
      </w:r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Zweck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"/>
    </w:p>
    <w:bookmarkStart w:id="4" w:name="id-1-3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"http://www.admin.ch/ch/d/sr/101/a3.html"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3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Kantone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"/>
    </w:p>
    <w:bookmarkStart w:id="5" w:name="id-1-4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4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Landessprachen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5"/>
    </w:p>
    <w:bookmarkStart w:id="6" w:name="id-1-5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"http://www.admin.ch/ch/d/sr/101/a5.html"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5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Grundsätze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rechtsstaatlichen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Handelns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6"/>
    </w:p>
    <w:bookmarkStart w:id="7" w:name="id-1-5a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"http://www.admin.ch/ch/d/sr/101/a5a.html"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5</w:t>
      </w:r>
      <w:r w:rsidR="00121FBE" w:rsidRPr="00121FBE">
        <w:rPr>
          <w:rFonts w:ascii="Arial" w:eastAsia="Times New Roman" w:hAnsi="Arial" w:cs="Arial"/>
          <w:i/>
          <w:iCs/>
          <w:color w:val="660099"/>
          <w:sz w:val="18"/>
          <w:u w:val="single"/>
          <w:lang w:val="en-US" w:eastAsia="es-AR"/>
        </w:rPr>
        <w:t>a</w:t>
      </w:r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Subsidiarität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7"/>
    </w:p>
    <w:bookmarkStart w:id="8" w:name="id-1-6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"http://www.admin.ch/ch/d/sr/101/a6.html"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6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Individuelle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gesellschaftliche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Verantwortung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8"/>
    </w:p>
    <w:p w:rsidR="00121FBE" w:rsidRPr="00121FBE" w:rsidRDefault="00121FBE" w:rsidP="00121FBE">
      <w:pPr>
        <w:spacing w:after="100" w:afterAutospacing="1" w:line="3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</w:pPr>
      <w:bookmarkStart w:id="9" w:name="id-2"/>
      <w:bookmarkEnd w:id="9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2.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Titel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: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Grundrechte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,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Bürgerrechte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 und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Sozialziele</w:t>
      </w:r>
      <w:proofErr w:type="spellEnd"/>
    </w:p>
    <w:p w:rsidR="00121FBE" w:rsidRPr="00121FBE" w:rsidRDefault="00121FBE" w:rsidP="00121FBE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</w:pPr>
      <w:bookmarkStart w:id="10" w:name="id-2-1"/>
      <w:bookmarkEnd w:id="10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 xml:space="preserve">1.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>Kapitel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 xml:space="preserve">: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>Grundrechte</w:t>
      </w:r>
      <w:proofErr w:type="spellEnd"/>
    </w:p>
    <w:bookmarkStart w:id="11" w:name="id-2-1-7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"http://www.admin.ch/ch/d/sr/101/a7.html"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7</w:t>
      </w:r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Menschenwürde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1"/>
    </w:p>
    <w:bookmarkStart w:id="12" w:name="id-2-1-8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"http://www.admin.ch/ch/d/sr/101/a8.html"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8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Rechtsgleichheit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2"/>
    </w:p>
    <w:bookmarkStart w:id="13" w:name="id-2-1-9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"http://www.admin.ch/ch/d/sr/101/a9.html"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9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Schutz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vor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Willkür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Wahrung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von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Treu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Glauben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3"/>
    </w:p>
    <w:bookmarkStart w:id="14" w:name="id-2-1-10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"http://www.admin.ch/ch/d/sr/101/a10.html"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10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Recht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auf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Leben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und auf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persönliche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4"/>
    </w:p>
    <w:bookmarkStart w:id="15" w:name="id-2-1-11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"http://www.admin.ch/ch/d/sr/101/a11.html"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11</w:t>
      </w:r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Schutz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der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Kinder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Jugendlichen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5"/>
    </w:p>
    <w:bookmarkStart w:id="16" w:name="id-2-1-12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"http://www.admin.ch/ch/d/sr/101/a12.html"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12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Recht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auf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Hilfe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in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Notlagen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6"/>
    </w:p>
    <w:bookmarkStart w:id="17" w:name="id-2-1-13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"http://www.admin.ch/ch/d/sr/101/a13.html"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13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Schutz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der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Privatsphäre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7"/>
    </w:p>
    <w:bookmarkStart w:id="18" w:name="id-2-1-14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"http://www.admin.ch/ch/d/sr/101/a14.html"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14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Recht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auf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Ehe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Familie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8"/>
    </w:p>
    <w:bookmarkStart w:id="19" w:name="id-2-1-15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"http://www.admin.ch/ch/d/sr/101/a15.html"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15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Glaubens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-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Gewissensfreiheit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19"/>
    </w:p>
    <w:bookmarkStart w:id="20" w:name="id-2-1-16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"http://www.admin.ch/ch/d/sr/101/a16.html"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16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Meinungs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-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Informationsfreiheit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0"/>
    </w:p>
    <w:bookmarkStart w:id="21" w:name="id-2-1-17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"http://www.admin.ch/ch/d/sr/101/a17.html"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17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Medienfreiheit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1"/>
    </w:p>
    <w:bookmarkStart w:id="22" w:name="id-2-1-18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"http://www.admin.ch/ch/d/sr/101/a18.html"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18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Sprachenfreiheit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2"/>
    </w:p>
    <w:bookmarkStart w:id="23" w:name="id-2-1-19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"http://www.admin.ch/ch/d/sr/101/a19.html"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19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Anspruch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auf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Grundschulunterricht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3"/>
    </w:p>
    <w:bookmarkStart w:id="24" w:name="id-2-1-20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"http://www.admin.ch/ch/d/sr/101/a20.html"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20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Wissenschaftsfreiheit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4"/>
    </w:p>
    <w:bookmarkStart w:id="25" w:name="id-2-1-21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"http://www.admin.ch/ch/d/sr/101/a21.html"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21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Kunstfreiheit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5"/>
    </w:p>
    <w:bookmarkStart w:id="26" w:name="id-2-1-22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"http://www.admin.ch/ch/d/sr/101/a22.html"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22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Versammlungsfreiheit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6"/>
    </w:p>
    <w:bookmarkStart w:id="27" w:name="id-2-1-23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"http://www.admin.ch/ch/d/sr/101/a23.html"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23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Vereinigungsfreiheit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7"/>
    </w:p>
    <w:bookmarkStart w:id="28" w:name="id-2-1-24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"http://www.admin.ch/ch/d/sr/101/a24.html"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24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Niederlassungsfreiheit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8"/>
    </w:p>
    <w:bookmarkStart w:id="29" w:name="id-2-1-25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"http://www.admin.ch/ch/d/sr/101/a25.html"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25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Schutz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vor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Ausweisung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,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Auslieferung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Ausschaffung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29"/>
    </w:p>
    <w:bookmarkStart w:id="30" w:name="id-2-1-26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"http://www.admin.ch/ch/d/sr/101/a26.html"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26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Eigentumsgarantie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0"/>
    </w:p>
    <w:bookmarkStart w:id="31" w:name="id-2-1-27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"http://www.admin.ch/ch/d/sr/101/a27.html"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27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Wirtschaftsfreiheit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1"/>
    </w:p>
    <w:bookmarkStart w:id="32" w:name="id-2-1-28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"http://www.admin.ch/ch/d/sr/101/a28.html"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28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Koalitionsfreiheit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2"/>
    </w:p>
    <w:bookmarkStart w:id="33" w:name="id-2-1-29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"http://www.admin.ch/ch/d/sr/101/a29.html"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29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Allgemeine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Verfahrensgarantien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3"/>
    </w:p>
    <w:bookmarkStart w:id="34" w:name="id-2-1-29a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"http://www.admin.ch/ch/d/sr/101/a29a.html"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 29</w:t>
      </w:r>
      <w:r w:rsidR="00121FBE" w:rsidRPr="00121FBE">
        <w:rPr>
          <w:rFonts w:ascii="Arial" w:eastAsia="Times New Roman" w:hAnsi="Arial" w:cs="Arial"/>
          <w:i/>
          <w:iCs/>
          <w:color w:val="660099"/>
          <w:sz w:val="18"/>
          <w:u w:val="single"/>
          <w:lang w:val="en-US" w:eastAsia="es-AR"/>
        </w:rPr>
        <w:t>a</w:t>
      </w:r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Rechtsweggarantie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4"/>
    </w:p>
    <w:bookmarkStart w:id="35" w:name="id-2-1-30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"http://www.admin.ch/ch/d/sr/101/a30.html"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30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Gerichtliche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Verfahren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5"/>
    </w:p>
    <w:bookmarkStart w:id="36" w:name="id-2-1-31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"http://www.admin.ch/ch/d/sr/101/a31.html"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31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Freiheitsentzug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6"/>
    </w:p>
    <w:bookmarkStart w:id="37" w:name="id-2-1-32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"http://www.admin.ch/ch/d/sr/101/a32.html"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32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Strafverfahren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7"/>
    </w:p>
    <w:bookmarkStart w:id="38" w:name="id-2-1-33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"http://www.admin.ch/ch/d/sr/101/a33.html"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33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Petitionsrecht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8"/>
    </w:p>
    <w:bookmarkStart w:id="39" w:name="id-2-1-34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lastRenderedPageBreak/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"http://www.admin.ch/ch/d/sr/101/a34.html"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34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Politische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Rechte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39"/>
    </w:p>
    <w:bookmarkStart w:id="40" w:name="id-2-1-35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"http://www.admin.ch/ch/d/sr/101/a35.html"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35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Verwirklichung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der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Grundrechte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0"/>
    </w:p>
    <w:bookmarkStart w:id="41" w:name="id-2-1-36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"http://www.admin.ch/ch/d/sr/101/a36.html"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36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Einschränkungen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von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Grundrechten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1"/>
    </w:p>
    <w:p w:rsidR="00121FBE" w:rsidRPr="00121FBE" w:rsidRDefault="00121FBE" w:rsidP="00121FBE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</w:pPr>
      <w:bookmarkStart w:id="42" w:name="id-2-2"/>
      <w:bookmarkEnd w:id="42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 xml:space="preserve">2.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>Kapitel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 xml:space="preserve">: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>Bürgerrecht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 xml:space="preserve"> und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>politische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 xml:space="preserve">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>Rechte</w:t>
      </w:r>
      <w:proofErr w:type="spellEnd"/>
    </w:p>
    <w:bookmarkStart w:id="43" w:name="id-2-2-37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"http://www.admin.ch/ch/d/sr/101/a37.html"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37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Bürgerrechte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3"/>
    </w:p>
    <w:bookmarkStart w:id="44" w:name="id-2-2-38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"http://www.admin.ch/ch/d/sr/101/a38.html"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38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Erwerb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Verlust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der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Bürgerrechte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4"/>
    </w:p>
    <w:bookmarkStart w:id="45" w:name="id-2-2-39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"http://www.admin.ch/ch/d/sr/101/a39.html"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39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Ausübung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der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politischen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Rechte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5"/>
    </w:p>
    <w:bookmarkStart w:id="46" w:name="id-2-2-40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"http://www.admin.ch/ch/d/sr/101/a40.html"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40</w:t>
      </w:r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Auslandschweizerinnen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Auslandschweizer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6"/>
    </w:p>
    <w:p w:rsidR="00121FBE" w:rsidRPr="005958F3" w:rsidRDefault="00121FBE" w:rsidP="00121FBE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</w:pPr>
      <w:bookmarkStart w:id="47" w:name="id-2-3"/>
      <w:bookmarkEnd w:id="47"/>
      <w:r w:rsidRPr="005958F3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 xml:space="preserve">3. </w:t>
      </w:r>
      <w:proofErr w:type="spellStart"/>
      <w:r w:rsidRPr="005958F3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>Kapitel</w:t>
      </w:r>
      <w:proofErr w:type="spellEnd"/>
      <w:r w:rsidRPr="005958F3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 xml:space="preserve">: </w:t>
      </w:r>
      <w:proofErr w:type="spellStart"/>
      <w:r w:rsidRPr="005958F3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>Sozialziele</w:t>
      </w:r>
      <w:proofErr w:type="spellEnd"/>
    </w:p>
    <w:bookmarkStart w:id="48" w:name="id-2-3-41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"http://www.admin.ch/ch/d/sr/101/a41.html"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41</w:t>
      </w:r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48"/>
    </w:p>
    <w:p w:rsidR="00121FBE" w:rsidRPr="00121FBE" w:rsidRDefault="00121FBE" w:rsidP="00121FBE">
      <w:pPr>
        <w:spacing w:after="100" w:afterAutospacing="1" w:line="3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</w:pPr>
      <w:bookmarkStart w:id="49" w:name="id-3"/>
      <w:bookmarkEnd w:id="49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3.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Titel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: Bund,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Kantone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 xml:space="preserve"> und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es-AR"/>
        </w:rPr>
        <w:t>Gemeinden</w:t>
      </w:r>
      <w:proofErr w:type="spellEnd"/>
    </w:p>
    <w:p w:rsidR="00121FBE" w:rsidRPr="00121FBE" w:rsidRDefault="00121FBE" w:rsidP="00121FBE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</w:pPr>
      <w:bookmarkStart w:id="50" w:name="id-3-1"/>
      <w:bookmarkEnd w:id="50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 xml:space="preserve">1.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>Kapitel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 xml:space="preserve">: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>Verhältnis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 xml:space="preserve"> von Bund und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es-AR"/>
        </w:rPr>
        <w:t>Kantonen</w:t>
      </w:r>
      <w:proofErr w:type="spellEnd"/>
    </w:p>
    <w:p w:rsidR="00121FBE" w:rsidRPr="00121FBE" w:rsidRDefault="00121FBE" w:rsidP="00121FBE">
      <w:pPr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</w:pPr>
      <w:bookmarkStart w:id="51" w:name="id-3-1-1"/>
      <w:bookmarkEnd w:id="51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 xml:space="preserve">1.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>Abschnitt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 xml:space="preserve">: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>Aufgaben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 xml:space="preserve"> von Bund und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>Kantonen</w:t>
      </w:r>
      <w:proofErr w:type="spellEnd"/>
    </w:p>
    <w:bookmarkStart w:id="52" w:name="id-3-1-1-42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"http://www.admin.ch/ch/d/sr/101/a42.html"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42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Aufgaben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des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Bundes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52"/>
    </w:p>
    <w:bookmarkStart w:id="53" w:name="id-3-1-1-43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"http://www.admin.ch/ch/d/sr/101/a43.html"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43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Aufgaben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der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Kantone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53"/>
    </w:p>
    <w:bookmarkStart w:id="54" w:name="id-3-1-1-43a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"http://www.admin.ch/ch/d/sr/101/a43a.html"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 43</w:t>
      </w:r>
      <w:r w:rsidR="00121FBE" w:rsidRPr="00121FBE">
        <w:rPr>
          <w:rFonts w:ascii="Arial" w:eastAsia="Times New Roman" w:hAnsi="Arial" w:cs="Arial"/>
          <w:i/>
          <w:iCs/>
          <w:color w:val="660099"/>
          <w:sz w:val="18"/>
          <w:u w:val="single"/>
          <w:lang w:val="en-US" w:eastAsia="es-AR"/>
        </w:rPr>
        <w:t>a</w:t>
      </w:r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Grundsätze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für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die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Zuweisung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Erfüllung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staatlicher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Aufgaben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54"/>
    </w:p>
    <w:p w:rsidR="00121FBE" w:rsidRPr="00121FBE" w:rsidRDefault="00121FBE" w:rsidP="00121FBE">
      <w:pPr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</w:pPr>
      <w:bookmarkStart w:id="55" w:name="id-3-1-2"/>
      <w:bookmarkEnd w:id="55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 xml:space="preserve">2.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>Abschnitt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 xml:space="preserve">: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>Zusammenwirken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 xml:space="preserve"> von Bund und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>Kantonen</w:t>
      </w:r>
      <w:proofErr w:type="spellEnd"/>
    </w:p>
    <w:bookmarkStart w:id="56" w:name="id-3-1-2-44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"http://www.admin.ch/ch/d/sr/101/a44.html"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44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Grundsätze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56"/>
    </w:p>
    <w:bookmarkStart w:id="57" w:name="id-3-1-2-45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"http://www.admin.ch/ch/d/sr/101/a45.html"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45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Mitwirkung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gram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an</w:t>
      </w:r>
      <w:proofErr w:type="gram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der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Willensbildung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des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Bundes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57"/>
    </w:p>
    <w:bookmarkStart w:id="58" w:name="id-3-1-2-46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"http://www.admin.ch/ch/d/sr/101/a46.html"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46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Umsetzung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des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Bundesrechts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58"/>
    </w:p>
    <w:bookmarkStart w:id="59" w:name="id-3-1-2-47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"http://www.admin.ch/ch/d/sr/101/a47.html"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47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Eigenständigkeit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der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Kantone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59"/>
    </w:p>
    <w:bookmarkStart w:id="60" w:name="id-3-1-2-48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"http://www.admin.ch/ch/d/sr/101/a48.html"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48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Verträge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zwischen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Kantonen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60"/>
    </w:p>
    <w:bookmarkStart w:id="61" w:name="id-3-1-2-48a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"http://www.admin.ch/ch/d/sr/101/a48a.html"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 48</w:t>
      </w:r>
      <w:r w:rsidR="00121FBE" w:rsidRPr="00121FBE">
        <w:rPr>
          <w:rFonts w:ascii="Arial" w:eastAsia="Times New Roman" w:hAnsi="Arial" w:cs="Arial"/>
          <w:i/>
          <w:iCs/>
          <w:color w:val="660099"/>
          <w:sz w:val="18"/>
          <w:u w:val="single"/>
          <w:lang w:val="en-US" w:eastAsia="es-AR"/>
        </w:rPr>
        <w:t>a</w:t>
      </w:r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Allgemeinverbindlicherklärung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Beteiligungspflicht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61"/>
    </w:p>
    <w:bookmarkStart w:id="62" w:name="id-3-1-2-49"/>
    <w:p w:rsidR="00121FBE" w:rsidRPr="00121FBE" w:rsidRDefault="00D47A24" w:rsidP="00121FBE">
      <w:pPr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</w:pP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begin"/>
      </w:r>
      <w:r w:rsidR="00121FBE" w:rsidRPr="00121FBE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instrText xml:space="preserve"> HYPERLINK "http://www.admin.ch/ch/d/sr/101/a49.html" </w:instrTex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separate"/>
      </w:r>
      <w:r w:rsidR="00121FBE" w:rsidRPr="00121FBE">
        <w:rPr>
          <w:rFonts w:ascii="Arial" w:eastAsia="Times New Roman" w:hAnsi="Arial" w:cs="Arial"/>
          <w:b/>
          <w:bCs/>
          <w:color w:val="660099"/>
          <w:sz w:val="18"/>
          <w:u w:val="single"/>
          <w:lang w:val="en-US" w:eastAsia="es-AR"/>
        </w:rPr>
        <w:t>Art. 49 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Vorrang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und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Einhaltung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 xml:space="preserve"> des </w:t>
      </w:r>
      <w:proofErr w:type="spellStart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Bundesrechts</w:t>
      </w:r>
      <w:proofErr w:type="spellEnd"/>
      <w:r w:rsidR="00121FBE" w:rsidRPr="00121FBE">
        <w:rPr>
          <w:rFonts w:ascii="Arial" w:eastAsia="Times New Roman" w:hAnsi="Arial" w:cs="Arial"/>
          <w:color w:val="660099"/>
          <w:sz w:val="18"/>
          <w:u w:val="single"/>
          <w:lang w:val="en-US" w:eastAsia="es-AR"/>
        </w:rPr>
        <w:t> </w:t>
      </w:r>
      <w:r w:rsidRPr="00121FBE">
        <w:rPr>
          <w:rFonts w:ascii="Arial" w:eastAsia="Times New Roman" w:hAnsi="Arial" w:cs="Arial"/>
          <w:color w:val="000000"/>
          <w:sz w:val="18"/>
          <w:szCs w:val="18"/>
          <w:lang w:eastAsia="es-AR"/>
        </w:rPr>
        <w:fldChar w:fldCharType="end"/>
      </w:r>
      <w:bookmarkEnd w:id="62"/>
    </w:p>
    <w:p w:rsidR="00121FBE" w:rsidRPr="00121FBE" w:rsidRDefault="00121FBE" w:rsidP="00121FBE">
      <w:pPr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</w:pPr>
      <w:bookmarkStart w:id="63" w:name="id-3-1-3"/>
      <w:bookmarkEnd w:id="63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 xml:space="preserve">3.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>Abschnitt</w:t>
      </w:r>
      <w:proofErr w:type="spellEnd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 xml:space="preserve">: </w:t>
      </w:r>
      <w:proofErr w:type="spellStart"/>
      <w:r w:rsidRPr="00121FB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AR"/>
        </w:rPr>
        <w:t>Gemeinden</w:t>
      </w:r>
      <w:proofErr w:type="spellEnd"/>
    </w:p>
    <w:p w:rsidR="00440CE5" w:rsidRPr="00121FBE" w:rsidRDefault="00440CE5">
      <w:pPr>
        <w:rPr>
          <w:lang w:val="en-US"/>
        </w:rPr>
      </w:pPr>
    </w:p>
    <w:sectPr w:rsidR="00440CE5" w:rsidRPr="00121FBE" w:rsidSect="005958F3">
      <w:pgSz w:w="12240" w:h="15840"/>
      <w:pgMar w:top="1417" w:right="758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FBE"/>
    <w:rsid w:val="00121FBE"/>
    <w:rsid w:val="00440CE5"/>
    <w:rsid w:val="005958F3"/>
    <w:rsid w:val="00D4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E5"/>
  </w:style>
  <w:style w:type="paragraph" w:styleId="Ttulo1">
    <w:name w:val="heading 1"/>
    <w:basedOn w:val="Normal"/>
    <w:link w:val="Ttulo1Car"/>
    <w:uiPriority w:val="9"/>
    <w:qFormat/>
    <w:rsid w:val="00121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12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12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1FB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121FBE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121FB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121FBE"/>
  </w:style>
  <w:style w:type="paragraph" w:styleId="NormalWeb">
    <w:name w:val="Normal (Web)"/>
    <w:basedOn w:val="Normal"/>
    <w:uiPriority w:val="99"/>
    <w:semiHidden/>
    <w:unhideWhenUsed/>
    <w:rsid w:val="0012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21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838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2013-04-19T17:37:00Z</dcterms:created>
  <dcterms:modified xsi:type="dcterms:W3CDTF">2013-04-19T17:54:00Z</dcterms:modified>
</cp:coreProperties>
</file>